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版本号：ZCSP-渭南市-2026-0013820260521002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陕西省第十八届运动会2026年开闭幕式场地维修改造项目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ZCSP-渭南市-2026-00138</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陕西省第十八届运动会2026年开闭幕式场地维修改造项目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陕西省第十八届运动会2026年开闭幕式场地维修改造项目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陕西省第十八届运动会2026 年开闭幕式场地维修改造项目，具体详见工程量清单。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采购包1（陕西省第十八届运动会2026年开闭幕式场地维修改造项目）：属于专门面向中小企业采购。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授权委托书：供应商应授权合法的人员参加采购全过程，法定代表人直接参加的须提交其身份证原件及法定代表人证明书，法定代表人授权代表参加采购的，须出具法定代表人授权书及被授权人身份证、被授权人在本单位缴纳的社保证明；</w:t>
      </w:r>
    </w:p>
    <w:p>
      <w:pPr>
        <w:pStyle w:val="null3"/>
      </w:pPr>
      <w:r>
        <w:rPr>
          <w:rFonts w:ascii="仿宋_GB2312" w:hAnsi="仿宋_GB2312" w:cs="仿宋_GB2312" w:eastAsia="仿宋_GB2312"/>
        </w:rPr>
        <w:t>3、供应商资质：供应商须具备建筑工程施工总承包三级及以上资质且具有有效的安全生产许可证;</w:t>
      </w:r>
    </w:p>
    <w:p>
      <w:pPr>
        <w:pStyle w:val="null3"/>
      </w:pPr>
      <w:r>
        <w:rPr>
          <w:rFonts w:ascii="仿宋_GB2312" w:hAnsi="仿宋_GB2312" w:cs="仿宋_GB2312" w:eastAsia="仿宋_GB2312"/>
        </w:rPr>
        <w:t>4、项目经理资格：拟派项目经理须具有建筑工程专业二级及以上注册建造师资格，并具有合格有效的安全生产考核合格证（B证），且未担任其他在建项目的项目经理（须提供无在建工程承诺书）。</w:t>
      </w:r>
    </w:p>
    <w:p>
      <w:pPr>
        <w:pStyle w:val="null3"/>
      </w:pPr>
      <w:r>
        <w:rPr>
          <w:rFonts w:ascii="仿宋_GB2312" w:hAnsi="仿宋_GB2312" w:cs="仿宋_GB2312" w:eastAsia="仿宋_GB2312"/>
        </w:rPr>
        <w:t>5、财务状况报告：提供2024年度或2025年度的供应商经审计的财务报表或审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6、履约能力：提供具有履行合同所必需的设备和专业技术能力的承诺；</w:t>
      </w:r>
    </w:p>
    <w:p>
      <w:pPr>
        <w:pStyle w:val="null3"/>
      </w:pPr>
      <w:r>
        <w:rPr>
          <w:rFonts w:ascii="仿宋_GB2312" w:hAnsi="仿宋_GB2312" w:cs="仿宋_GB2312" w:eastAsia="仿宋_GB2312"/>
        </w:rPr>
        <w:t>7、社会保障资金缴纳证明：提供供应商近一年任意一个月的社会保障资金缴存单据或社保机构开具的社会保险参保缴费情况证明；依法不需要缴纳社会保障资金的应提供相关文件证明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8、税收缴纳证明：提供供应商近一年已缴纳任意一个月完税凭证或税务机关开具的完税证明（任意税种）；依法免税的应提供相关文件证明；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9、信用信息：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10、无重大违法记录声明：供应商须出具参加采购活动前三年内，在经营活动中没有重大违法记录声明原件；</w:t>
      </w:r>
    </w:p>
    <w:p>
      <w:pPr>
        <w:pStyle w:val="null3"/>
      </w:pPr>
      <w:r>
        <w:rPr>
          <w:rFonts w:ascii="仿宋_GB2312" w:hAnsi="仿宋_GB2312" w:cs="仿宋_GB2312" w:eastAsia="仿宋_GB2312"/>
        </w:rPr>
        <w:t>11、磋商保证金：按磋商文件要求提交磋商保证金并附磋商保证金缴纳凭证。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朱莹香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15619630396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2026年开闭幕式场地维修改造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标的名称：2026年开闭幕式场地维修改造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一、工程概况：</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建设内容为：</w:t>
            </w:r>
            <w:r>
              <w:rPr>
                <w:rFonts w:ascii="仿宋_GB2312" w:hAnsi="仿宋_GB2312" w:cs="仿宋_GB2312" w:eastAsia="仿宋_GB2312"/>
              </w:rPr>
              <w:t>开幕式场地草坪盖板铺设、升旗台搭建和主席台背景装饰及改造；闭幕式主席台搭建和升旗装置。按照项目要求，按时完成陕西省第十八届运动会开闭幕式场地维修改造。</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工期：</w:t>
            </w:r>
            <w:r>
              <w:rPr>
                <w:rFonts w:ascii="仿宋_GB2312" w:hAnsi="仿宋_GB2312" w:cs="仿宋_GB2312" w:eastAsia="仿宋_GB2312"/>
              </w:rPr>
              <w:t>自合同签订之日起至</w:t>
            </w:r>
            <w:r>
              <w:rPr>
                <w:rFonts w:ascii="仿宋_GB2312" w:hAnsi="仿宋_GB2312" w:cs="仿宋_GB2312" w:eastAsia="仿宋_GB2312"/>
              </w:rPr>
              <w:t>2026年7月10日前</w:t>
            </w:r>
          </w:p>
          <w:p>
            <w:pPr>
              <w:pStyle w:val="null3"/>
              <w:ind w:firstLine="480"/>
              <w:jc w:val="left"/>
            </w:pPr>
            <w:r>
              <w:rPr>
                <w:rFonts w:ascii="仿宋_GB2312" w:hAnsi="仿宋_GB2312" w:cs="仿宋_GB2312" w:eastAsia="仿宋_GB2312"/>
              </w:rPr>
              <w:t>二、编制依据</w:t>
            </w:r>
          </w:p>
          <w:p>
            <w:pPr>
              <w:pStyle w:val="null3"/>
              <w:ind w:firstLine="480"/>
              <w:jc w:val="left"/>
            </w:pPr>
            <w:r>
              <w:rPr>
                <w:rFonts w:ascii="仿宋_GB2312" w:hAnsi="仿宋_GB2312" w:cs="仿宋_GB2312" w:eastAsia="仿宋_GB2312"/>
              </w:rPr>
              <w:t>1.《陕西省建设工程工程量清单计价计算标准》（2025）；</w:t>
            </w:r>
          </w:p>
          <w:p>
            <w:pPr>
              <w:pStyle w:val="null3"/>
              <w:ind w:firstLine="480"/>
              <w:jc w:val="left"/>
            </w:pPr>
            <w:r>
              <w:rPr>
                <w:rFonts w:ascii="仿宋_GB2312" w:hAnsi="仿宋_GB2312" w:cs="仿宋_GB2312" w:eastAsia="仿宋_GB2312"/>
              </w:rPr>
              <w:t>2.陕西省住房和城乡建设厅文件：《陕西省住房和城乡建设厅关于印发2025陕西省建设工程费用规则等计价依据的通知》（陕建管发〔2025〕10号）；</w:t>
            </w:r>
          </w:p>
          <w:p>
            <w:pPr>
              <w:pStyle w:val="null3"/>
              <w:ind w:firstLine="480"/>
              <w:jc w:val="left"/>
            </w:pPr>
            <w:r>
              <w:rPr>
                <w:rFonts w:ascii="仿宋_GB2312" w:hAnsi="仿宋_GB2312" w:cs="仿宋_GB2312" w:eastAsia="仿宋_GB2312"/>
              </w:rPr>
              <w:t>3.《陕西省通用安装工程消耗量定额》（2025）；</w:t>
            </w:r>
          </w:p>
          <w:p>
            <w:pPr>
              <w:pStyle w:val="null3"/>
              <w:ind w:firstLine="480"/>
              <w:jc w:val="left"/>
            </w:pPr>
            <w:r>
              <w:rPr>
                <w:rFonts w:ascii="仿宋_GB2312" w:hAnsi="仿宋_GB2312" w:cs="仿宋_GB2312" w:eastAsia="仿宋_GB2312"/>
              </w:rPr>
              <w:t>4</w:t>
            </w:r>
            <w:r>
              <w:rPr>
                <w:rFonts w:ascii="仿宋_GB2312" w:hAnsi="仿宋_GB2312" w:cs="仿宋_GB2312" w:eastAsia="仿宋_GB2312"/>
              </w:rPr>
              <w:t>.《陕西省市政工程消耗量定额》（2025）；</w:t>
            </w:r>
          </w:p>
          <w:p>
            <w:pPr>
              <w:pStyle w:val="null3"/>
              <w:ind w:firstLine="480"/>
              <w:jc w:val="left"/>
            </w:pPr>
            <w:r>
              <w:rPr>
                <w:rFonts w:ascii="仿宋_GB2312" w:hAnsi="仿宋_GB2312" w:cs="仿宋_GB2312" w:eastAsia="仿宋_GB2312"/>
              </w:rPr>
              <w:t>5</w:t>
            </w:r>
            <w:r>
              <w:rPr>
                <w:rFonts w:ascii="仿宋_GB2312" w:hAnsi="仿宋_GB2312" w:cs="仿宋_GB2312" w:eastAsia="仿宋_GB2312"/>
              </w:rPr>
              <w:t>.《陕西省建设工程施工仪器仪表台班费用定额》（2025）；</w:t>
            </w:r>
          </w:p>
          <w:p>
            <w:pPr>
              <w:pStyle w:val="null3"/>
              <w:ind w:firstLine="480"/>
              <w:jc w:val="left"/>
            </w:pPr>
            <w:r>
              <w:rPr>
                <w:rFonts w:ascii="仿宋_GB2312" w:hAnsi="仿宋_GB2312" w:cs="仿宋_GB2312" w:eastAsia="仿宋_GB2312"/>
              </w:rPr>
              <w:t>6</w:t>
            </w:r>
            <w:r>
              <w:rPr>
                <w:rFonts w:ascii="仿宋_GB2312" w:hAnsi="仿宋_GB2312" w:cs="仿宋_GB2312" w:eastAsia="仿宋_GB2312"/>
              </w:rPr>
              <w:t>.相关定额配套基价表（2025）；</w:t>
            </w:r>
          </w:p>
          <w:p>
            <w:pPr>
              <w:pStyle w:val="null3"/>
              <w:ind w:firstLine="480"/>
              <w:jc w:val="left"/>
            </w:pPr>
            <w:r>
              <w:rPr>
                <w:rFonts w:ascii="仿宋_GB2312" w:hAnsi="仿宋_GB2312" w:cs="仿宋_GB2312" w:eastAsia="仿宋_GB2312"/>
              </w:rPr>
              <w:t>7</w:t>
            </w:r>
            <w:r>
              <w:rPr>
                <w:rFonts w:ascii="仿宋_GB2312" w:hAnsi="仿宋_GB2312" w:cs="仿宋_GB2312" w:eastAsia="仿宋_GB2312"/>
              </w:rPr>
              <w:t>.根据现场测量、施工规范、验收规范及甲方对现场具体情况的说明等有关要求编制；</w:t>
            </w:r>
          </w:p>
          <w:p>
            <w:pPr>
              <w:pStyle w:val="null3"/>
              <w:ind w:firstLine="480"/>
              <w:jc w:val="left"/>
            </w:pPr>
            <w:r>
              <w:rPr>
                <w:rFonts w:ascii="仿宋_GB2312" w:hAnsi="仿宋_GB2312" w:cs="仿宋_GB2312" w:eastAsia="仿宋_GB2312"/>
              </w:rPr>
              <w:t>8.关于工程材料价格说明：材料价格参照《渭南市工程造价信息》2026年第1期及《陕西工程造价管理信息（材料价）》2026年4月，信息价没有的按综合市场价加权形成预算价格计入工程造价。</w:t>
            </w:r>
          </w:p>
          <w:p>
            <w:pPr>
              <w:pStyle w:val="null3"/>
              <w:ind w:firstLine="480"/>
              <w:jc w:val="left"/>
            </w:pPr>
            <w:r>
              <w:rPr>
                <w:rFonts w:ascii="仿宋_GB2312" w:hAnsi="仿宋_GB2312" w:cs="仿宋_GB2312" w:eastAsia="仿宋_GB2312"/>
              </w:rPr>
              <w:t>三、其他说明</w:t>
            </w:r>
          </w:p>
          <w:p>
            <w:pPr>
              <w:pStyle w:val="null3"/>
              <w:ind w:firstLine="480"/>
              <w:jc w:val="left"/>
            </w:pPr>
            <w:r>
              <w:rPr>
                <w:rFonts w:ascii="仿宋_GB2312" w:hAnsi="仿宋_GB2312" w:cs="仿宋_GB2312" w:eastAsia="仿宋_GB2312"/>
              </w:rPr>
              <w:t>1、广联达版本采用 7.0版本,版本号为7.5000.23.3(增值税版本)。</w:t>
            </w:r>
          </w:p>
          <w:p>
            <w:pPr>
              <w:pStyle w:val="null3"/>
              <w:jc w:val="both"/>
            </w:pPr>
            <w:r>
              <w:rPr>
                <w:rFonts w:ascii="仿宋_GB2312" w:hAnsi="仿宋_GB2312" w:cs="仿宋_GB2312" w:eastAsia="仿宋_GB2312"/>
                <w:sz w:val="21"/>
              </w:rPr>
              <w:t xml:space="preserve">    四、工程量清单详见附件。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1、工期：自合同签订之日起至2026年7月10日前 ；2、工程地点：采购人指定地点；3、质保期：自验收合格之日起不低于1年；4、已标价工程量清单应按我省最新计划规范要求，在规定位置加盖投标单位公章及投标单位造价师加盖执业资格章并由造价师签字。（如委托具有造价编制能力的咨询单位编制已标价工程量清单的，应按我省最新计价规范要求加盖编制单位造价人员或造价师加盖执业资格章及签字，同时已标价工程量清单封皮加盖投标单位公章，并附双方委托协议或委托书）。3、需要落实的政府采购政策：①《财政部司法部关于政府采购支持监狱企业发展有关问题的通知》（财库〔2014〕68号）；②《三部门联合发布关于促进残疾人就业政府采购政策的通知》（财库〔2017〕141号）； ③《国务院办公厅关于建立政府强制采购节能产品制度的通知》（国办发〔2007〕51号）；④《财政部 国家发展改革委关于印发〈节能产品政府采购实施意见〉的通知》（财库〔2004〕185号）； ⑤《财政部环保总局关于环境标志产品政府采购实施的意见》（财库〔2006〕90号）；⑥《财政部发展改革委生态环境部市场监管总局关于调整优化节能产品、环境标志产品政府采购执行机制的通知》（财库〔2019〕9号）；⑦《财政部国务院扶贫办关于运用政府采购政策支持脱贫攻坚的通知》（财库〔2019〕27号）；⑧《政府采购促进中小企业发展管理办法》（财库〔2020〕46号）。⑨其他需要落实的政府采购政策。5、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资格证明文件（1）.docx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被授权人在本单位缴纳的社保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拟派项目经理须具有建筑工程专业二级及以上注册建造师资格，并具有合格有效的安全生产考核合格证（B证），且未担任其他在建项目的项目经理（须提供无在建工程承诺书）。</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供应商经审计的财务报表或审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按磋商文件要求提交磋商保证金并附磋商保证金缴纳凭证。</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施工方案.docx 报价函 资格证明文件（1）.docx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针对本项目提供具体可行的施工部署方案，包括但不限于：①施工目标：安全目标、工期目标、质量目标；②资源配备计划：主要施工设备、劳动力等配备计划及主材进场计划等。 二、评审标准： 提供详细、合理、科学可行的方案，方案符合本项目采购需求有针对性，以上2项，内容无缺项、无漏项且无缺陷的得6分，其中每有一项内容存在缺项或漏项的扣3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等。 二、评审标准： 提供详细、合理、科学可行的方案，方案符合本项目采购需求有针对性，以上4项，内容无缺项、无漏项且无缺陷的得12分，其中每有一项内容存在缺项或漏项的扣3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针对本项目提供具体可行的施工进度，包括但不限于：①施工计划安排：施工进度目标和施工总进度计划表；②进度保障措施：工期保证措施、特殊情况（夜间、雨季、高低温等其它情况）保证等。 二、评审标准： 提供详细、合理、科学可行的方案，方案符合本项目采购需求有针对性，以上2项，内容无缺项、无漏项且无缺陷的得6分，其中每有一项内容存在缺项或漏项的扣3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等。③与相关管理部门、周边社区等的协调措施，制定减少对周边环境干扰的施工时段方案。 二、评审标准： 提供详细、合理、科学可行的方案，方案符合本项目采购需求有针对性，以上3项，内容无缺项、无漏项且无缺陷的得6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针对本项目提供具体可行的质量保证管理体系及相关措施，包括但不限于：①质量管理目标；②施工质量保障措施；③施工质量检验制度等。 二、评审标准： 提供详细、合理、科学可行的方案，方案符合本项目采购需求有针对性，以上3项，内容无缺项、无漏项且无缺陷的得9分，其中每有一项内容存在缺项或漏项的扣3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等。 二、评审标准： 提供详细、合理、科学可行的方案，方案符合本项目采购需求有针对性，以上2项，内容无缺项、无漏项且无缺陷的得6分，其中每有一项内容存在缺项或漏项的扣3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针对本项目提供具体可行的保修承诺，包括但不限于：①保修措施及承诺：工程维修服务承诺、保修措施和响应时限；②应急维护：紧急情况抢修，发生质量问题后的补救措施等。 二、评审标准： 提供详细、合理、科学可行的方案，方案符合本项目采购需求有针对性，以上2项，内容无缺项、无漏项且无缺陷的得4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5分，每缺少1人扣1分，扣完为止；②人员储备加分：在满足基本要求的基础上，每增加1名持证项目部人员（新增岗位或以上明确的岗位新增人员）加0.5分，最多加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供应商具有2023年1月1日至今的类似项目业绩证明文件（以合同签订时间为准），提供合同复印件加盖公章，每提供一份得1分，满分4分。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