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版本号：RH采字【20260403】号20260514002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长安校区2026年通勤车辆服务项目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RH采字【20260403】号</w:t>
      </w:r>
      <w:r>
        <w:br/>
      </w:r>
      <w:r>
        <w:br/>
      </w:r>
      <w:r>
        <w:br/>
      </w:r>
    </w:p>
    <w:p>
      <w:pPr>
        <w:pStyle w:val="null3"/>
        <w:jc w:val="center"/>
        <w:outlineLvl w:val="2"/>
      </w:pPr>
      <w:r>
        <w:rPr>
          <w:rFonts w:ascii="仿宋_GB2312" w:hAnsi="仿宋_GB2312" w:cs="仿宋_GB2312" w:eastAsia="仿宋_GB2312"/>
          <w:sz w:val="28"/>
          <w:b/>
        </w:rPr>
        <w:t>西安美术学院</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西安美术学院</w:t>
      </w:r>
      <w:r>
        <w:rPr>
          <w:rFonts w:ascii="仿宋_GB2312" w:hAnsi="仿宋_GB2312" w:cs="仿宋_GB2312" w:eastAsia="仿宋_GB2312"/>
        </w:rPr>
        <w:t>委托，拟对</w:t>
      </w:r>
      <w:r>
        <w:rPr>
          <w:rFonts w:ascii="仿宋_GB2312" w:hAnsi="仿宋_GB2312" w:cs="仿宋_GB2312" w:eastAsia="仿宋_GB2312"/>
        </w:rPr>
        <w:t>长安校区2026年通勤车辆服务项目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RH采字【20260403】号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长安校区2026年通勤车辆服务项目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西安美术学院长安校区2026年通勤车辆服务项目，1项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采购包1（西安美术学院长安校区2026年通勤车辆服务项目）：属于专门面向中小企业采购。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的财务报告（成立时间至响应文件递交截止时间不足一年的可提供成立后任意时段的资产负债表）或响应文件递交截止时间前六个月内银行出具的资信证明；其他组织和自然人提供银行出具的资信证明或财务报表；根据《财政部关于注册会计师行业统一监管平台上线运行的通知》财办〔2022〕32号文件要求，审计报告须有清晰可扫描查询的二维码，若审计报告未赋码视为无效。</w:t>
      </w:r>
    </w:p>
    <w:p>
      <w:pPr>
        <w:pStyle w:val="null3"/>
      </w:pPr>
      <w:r>
        <w:rPr>
          <w:rFonts w:ascii="仿宋_GB2312" w:hAnsi="仿宋_GB2312" w:cs="仿宋_GB2312" w:eastAsia="仿宋_GB2312"/>
        </w:rPr>
        <w:t>3、有依法缴纳税收的良好记录：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pPr>
      <w:r>
        <w:rPr>
          <w:rFonts w:ascii="仿宋_GB2312" w:hAnsi="仿宋_GB2312" w:cs="仿宋_GB2312" w:eastAsia="仿宋_GB2312"/>
        </w:rPr>
        <w:t>9、道路运输经营许可证：供应商应具备并提供交通管理部门核发有效的《道路运输经营许可证》。</w:t>
      </w:r>
    </w:p>
    <w:p>
      <w:pPr>
        <w:pStyle w:val="null3"/>
      </w:pPr>
      <w:r>
        <w:rPr>
          <w:rFonts w:ascii="仿宋_GB2312" w:hAnsi="仿宋_GB2312" w:cs="仿宋_GB2312" w:eastAsia="仿宋_GB2312"/>
        </w:rPr>
        <w:t>10、直接控股、管理关系：单位负责人为同一人或者存在直接控股、管理关系的不同供应商，不得同时参与本采购项目响应（提供直接控股和管理关系清单）。</w:t>
      </w:r>
    </w:p>
    <w:p>
      <w:pPr>
        <w:pStyle w:val="null3"/>
      </w:pPr>
      <w:r>
        <w:rPr>
          <w:rFonts w:ascii="仿宋_GB2312" w:hAnsi="仿宋_GB2312" w:cs="仿宋_GB2312" w:eastAsia="仿宋_GB2312"/>
        </w:rPr>
        <w:t>11、其他：为本项目提供整体设计、规范编制或者项目管理、监理、检测等服务的供应商，不得再参与本项目响应（提供承诺）。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西安美术学院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西安市雁塔区含光路100号西安美术学院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029-88214244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刘菲、王倩倩、石雨鑫、张丰利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15091632950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代理服务费收费标准：参照《招标代理服务收费管理暂行办法》（计价格[2002]1980号）和《关于招标代理服务收费有关问题的通知》（发改办价格[2003]857号）的有关规定收取,计费基数为项目预算金额。 成交供应商在领取中标（成交）通知书前，须向采购代理机构一次性支付采购代理服务费。 本项目类型：服务 采购代理服务费账户： 户名：瑞恒项目管理有限公司 开户行：工行西安城南科技支行 账号：3700024819200044620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西安美术学院</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西安美术学院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西安美术学院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联系人：刘菲、王倩倩、石雨鑫、张丰利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西安美术学院长安校区2026年通勤车辆服务项目，1项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690,000.00</w:t>
      </w:r>
    </w:p>
    <w:p>
      <w:pPr>
        <w:pStyle w:val="null3"/>
      </w:pPr>
      <w:r>
        <w:rPr>
          <w:rFonts w:ascii="仿宋_GB2312" w:hAnsi="仿宋_GB2312" w:cs="仿宋_GB2312" w:eastAsia="仿宋_GB2312"/>
        </w:rPr>
        <w:t>采购包最高限价（元）: 690,000.00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通勤车租赁服务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交通运输业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标的名称：通勤车租赁服务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pPr>
            <w:r>
              <w:rPr>
                <w:rFonts w:ascii="仿宋_GB2312" w:hAnsi="仿宋_GB2312" w:cs="仿宋_GB2312" w:eastAsia="仿宋_GB2312"/>
                <w:sz w:val="21"/>
              </w:rPr>
              <w:t>该项目为西安美术学院长安校区与雁塔校区之间的师生通勤班车服务项目，旨在保障两校区师生的日常教学、科研及办公出行需求。项目内容包括每日定时定点的通勤班车服务、临时性大型活动用车保障、节假日师生关怀服务等。服务对象为西安美术学院教职工及学生，预计每日通勤人数约</w:t>
            </w:r>
            <w:r>
              <w:rPr>
                <w:rFonts w:ascii="仿宋_GB2312" w:hAnsi="仿宋_GB2312" w:cs="仿宋_GB2312" w:eastAsia="仿宋_GB2312"/>
                <w:sz w:val="21"/>
              </w:rPr>
              <w:t>200人次。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二、服务内容</w:t>
            </w:r>
          </w:p>
          <w:p>
            <w:pPr>
              <w:pStyle w:val="null3"/>
              <w:jc w:val="both"/>
            </w:pPr>
            <w:r>
              <w:rPr>
                <w:rFonts w:ascii="仿宋_GB2312" w:hAnsi="仿宋_GB2312" w:cs="仿宋_GB2312" w:eastAsia="仿宋_GB2312"/>
                <w:sz w:val="21"/>
              </w:rPr>
              <w:t>（一）通勤班车服务</w:t>
            </w:r>
          </w:p>
          <w:p>
            <w:pPr>
              <w:pStyle w:val="null3"/>
              <w:jc w:val="both"/>
            </w:pPr>
            <w:r>
              <w:rPr>
                <w:rFonts w:ascii="仿宋_GB2312" w:hAnsi="仿宋_GB2312" w:cs="仿宋_GB2312" w:eastAsia="仿宋_GB2312"/>
                <w:sz w:val="21"/>
              </w:rPr>
              <w:t>提供雁塔校区至长安校区的日常通勤班车服务，按西安美术学院规定的线路、时间、站点运行，确保准时、安全、舒适。</w:t>
            </w:r>
          </w:p>
          <w:p>
            <w:pPr>
              <w:pStyle w:val="null3"/>
              <w:jc w:val="both"/>
            </w:pPr>
            <w:r>
              <w:rPr>
                <w:rFonts w:ascii="仿宋_GB2312" w:hAnsi="仿宋_GB2312" w:cs="仿宋_GB2312" w:eastAsia="仿宋_GB2312"/>
                <w:sz w:val="21"/>
              </w:rPr>
              <w:t>（二）临时用车保障</w:t>
            </w:r>
          </w:p>
          <w:p>
            <w:pPr>
              <w:pStyle w:val="null3"/>
              <w:jc w:val="both"/>
            </w:pPr>
            <w:r>
              <w:rPr>
                <w:rFonts w:ascii="仿宋_GB2312" w:hAnsi="仿宋_GB2312" w:cs="仿宋_GB2312" w:eastAsia="仿宋_GB2312"/>
                <w:sz w:val="21"/>
              </w:rPr>
              <w:t>为西安美术学院大型活动、考试、会议等提供临时性客车服务，按需调度，灵活安排。</w:t>
            </w:r>
          </w:p>
          <w:p>
            <w:pPr>
              <w:pStyle w:val="null3"/>
              <w:jc w:val="both"/>
            </w:pPr>
            <w:r>
              <w:rPr>
                <w:rFonts w:ascii="仿宋_GB2312" w:hAnsi="仿宋_GB2312" w:cs="仿宋_GB2312" w:eastAsia="仿宋_GB2312"/>
                <w:sz w:val="21"/>
              </w:rPr>
              <w:t>（三）车辆及设施配备</w:t>
            </w:r>
          </w:p>
          <w:p>
            <w:pPr>
              <w:pStyle w:val="null3"/>
              <w:jc w:val="both"/>
            </w:pPr>
            <w:r>
              <w:rPr>
                <w:rFonts w:ascii="仿宋_GB2312" w:hAnsi="仿宋_GB2312" w:cs="仿宋_GB2312" w:eastAsia="仿宋_GB2312"/>
                <w:sz w:val="21"/>
              </w:rPr>
              <w:t>提供符合要求的客车，配备必要的人文关怀设施如医药箱、雨伞等，提升服务体验。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三、服务标准及要求</w:t>
            </w:r>
          </w:p>
          <w:p>
            <w:pPr>
              <w:pStyle w:val="null3"/>
              <w:jc w:val="both"/>
            </w:pPr>
            <w:r>
              <w:rPr>
                <w:rFonts w:ascii="仿宋_GB2312" w:hAnsi="仿宋_GB2312" w:cs="仿宋_GB2312" w:eastAsia="仿宋_GB2312"/>
                <w:sz w:val="21"/>
                <w:b/>
              </w:rPr>
              <w:t>（一）车辆要求</w:t>
            </w:r>
          </w:p>
          <w:p>
            <w:pPr>
              <w:pStyle w:val="null3"/>
              <w:jc w:val="both"/>
            </w:pPr>
            <w:r>
              <w:rPr>
                <w:rFonts w:ascii="仿宋_GB2312" w:hAnsi="仿宋_GB2312" w:cs="仿宋_GB2312" w:eastAsia="仿宋_GB2312"/>
                <w:sz w:val="21"/>
              </w:rPr>
              <w:t>车辆登记日期不超过</w:t>
            </w:r>
            <w:r>
              <w:rPr>
                <w:rFonts w:ascii="仿宋_GB2312" w:hAnsi="仿宋_GB2312" w:cs="仿宋_GB2312" w:eastAsia="仿宋_GB2312"/>
                <w:sz w:val="21"/>
              </w:rPr>
              <w:t>5</w:t>
            </w:r>
            <w:r>
              <w:rPr>
                <w:rFonts w:ascii="仿宋_GB2312" w:hAnsi="仿宋_GB2312" w:cs="仿宋_GB2312" w:eastAsia="仿宋_GB2312"/>
                <w:sz w:val="21"/>
              </w:rPr>
              <w:t>年，行驶里程不超过</w:t>
            </w:r>
            <w:r>
              <w:rPr>
                <w:rFonts w:ascii="仿宋_GB2312" w:hAnsi="仿宋_GB2312" w:cs="仿宋_GB2312" w:eastAsia="仿宋_GB2312"/>
                <w:sz w:val="21"/>
              </w:rPr>
              <w:t>10</w:t>
            </w:r>
            <w:r>
              <w:rPr>
                <w:rFonts w:ascii="仿宋_GB2312" w:hAnsi="仿宋_GB2312" w:cs="仿宋_GB2312" w:eastAsia="仿宋_GB2312"/>
                <w:sz w:val="21"/>
              </w:rPr>
              <w:t>万公里；</w:t>
            </w:r>
          </w:p>
          <w:p>
            <w:pPr>
              <w:pStyle w:val="null3"/>
              <w:jc w:val="both"/>
            </w:pPr>
            <w:r>
              <w:rPr>
                <w:rFonts w:ascii="仿宋_GB2312" w:hAnsi="仿宋_GB2312" w:cs="仿宋_GB2312" w:eastAsia="仿宋_GB2312"/>
                <w:sz w:val="21"/>
              </w:rPr>
              <w:t>车辆技术状况良好，落实二级维护及</w:t>
            </w:r>
            <w:r>
              <w:rPr>
                <w:rFonts w:ascii="仿宋_GB2312" w:hAnsi="仿宋_GB2312" w:cs="仿宋_GB2312" w:eastAsia="仿宋_GB2312"/>
                <w:sz w:val="21"/>
              </w:rPr>
              <w:t>“三检”制度，车容整洁，设施齐全，具备空调、暖风等功能；</w:t>
            </w:r>
          </w:p>
          <w:p>
            <w:pPr>
              <w:pStyle w:val="null3"/>
              <w:jc w:val="both"/>
            </w:pPr>
            <w:r>
              <w:rPr>
                <w:rFonts w:ascii="仿宋_GB2312" w:hAnsi="仿宋_GB2312" w:cs="仿宋_GB2312" w:eastAsia="仿宋_GB2312"/>
                <w:sz w:val="21"/>
              </w:rPr>
              <w:t>车辆须符合西安市环保排放标准，配备交强险、承运人责任险（不低于</w:t>
            </w:r>
            <w:r>
              <w:rPr>
                <w:rFonts w:ascii="仿宋_GB2312" w:hAnsi="仿宋_GB2312" w:cs="仿宋_GB2312" w:eastAsia="仿宋_GB2312"/>
                <w:sz w:val="21"/>
              </w:rPr>
              <w:t>50</w:t>
            </w:r>
            <w:r>
              <w:rPr>
                <w:rFonts w:ascii="仿宋_GB2312" w:hAnsi="仿宋_GB2312" w:cs="仿宋_GB2312" w:eastAsia="仿宋_GB2312"/>
                <w:sz w:val="21"/>
              </w:rPr>
              <w:t>万元</w:t>
            </w:r>
            <w:r>
              <w:rPr>
                <w:rFonts w:ascii="仿宋_GB2312" w:hAnsi="仿宋_GB2312" w:cs="仿宋_GB2312" w:eastAsia="仿宋_GB2312"/>
                <w:sz w:val="21"/>
              </w:rPr>
              <w:t>/</w:t>
            </w:r>
            <w:r>
              <w:rPr>
                <w:rFonts w:ascii="仿宋_GB2312" w:hAnsi="仿宋_GB2312" w:cs="仿宋_GB2312" w:eastAsia="仿宋_GB2312"/>
                <w:sz w:val="21"/>
              </w:rPr>
              <w:t>座）及商业险；</w:t>
            </w:r>
          </w:p>
          <w:p>
            <w:pPr>
              <w:pStyle w:val="null3"/>
              <w:jc w:val="both"/>
            </w:pPr>
            <w:r>
              <w:rPr>
                <w:rFonts w:ascii="仿宋_GB2312" w:hAnsi="仿宋_GB2312" w:cs="仿宋_GB2312" w:eastAsia="仿宋_GB2312"/>
                <w:sz w:val="21"/>
              </w:rPr>
              <w:t>车辆须配备爱心椅、医药箱（含速效救心丸、纱布、口罩等）、雨伞等人性化设施；</w:t>
            </w:r>
          </w:p>
          <w:p>
            <w:pPr>
              <w:pStyle w:val="null3"/>
              <w:jc w:val="both"/>
            </w:pPr>
            <w:r>
              <w:rPr>
                <w:rFonts w:ascii="仿宋_GB2312" w:hAnsi="仿宋_GB2312" w:cs="仿宋_GB2312" w:eastAsia="仿宋_GB2312"/>
                <w:sz w:val="21"/>
              </w:rPr>
              <w:t>车辆不得擅自更换，如需更换须提前</w:t>
            </w:r>
            <w:r>
              <w:rPr>
                <w:rFonts w:ascii="仿宋_GB2312" w:hAnsi="仿宋_GB2312" w:cs="仿宋_GB2312" w:eastAsia="仿宋_GB2312"/>
                <w:sz w:val="21"/>
              </w:rPr>
              <w:t>7</w:t>
            </w:r>
            <w:r>
              <w:rPr>
                <w:rFonts w:ascii="仿宋_GB2312" w:hAnsi="仿宋_GB2312" w:cs="仿宋_GB2312" w:eastAsia="仿宋_GB2312"/>
                <w:sz w:val="21"/>
              </w:rPr>
              <w:t>个工作日向采购人提出书面申请，经同意后方可更换，且更换后车辆不得低于原标准；</w:t>
            </w:r>
          </w:p>
          <w:p>
            <w:pPr>
              <w:pStyle w:val="null3"/>
              <w:jc w:val="both"/>
            </w:pPr>
            <w:r>
              <w:rPr>
                <w:rFonts w:ascii="仿宋_GB2312" w:hAnsi="仿宋_GB2312" w:cs="仿宋_GB2312" w:eastAsia="仿宋_GB2312"/>
                <w:sz w:val="21"/>
              </w:rPr>
              <w:t>提供车辆行驶证、保险单等证明材料。</w:t>
            </w:r>
          </w:p>
          <w:p>
            <w:pPr>
              <w:pStyle w:val="null3"/>
              <w:jc w:val="both"/>
            </w:pPr>
            <w:r>
              <w:rPr>
                <w:rFonts w:ascii="仿宋_GB2312" w:hAnsi="仿宋_GB2312" w:cs="仿宋_GB2312" w:eastAsia="仿宋_GB2312"/>
                <w:sz w:val="21"/>
                <w:b/>
              </w:rPr>
              <w:t>（二）驾驶员要求</w:t>
            </w:r>
          </w:p>
          <w:p>
            <w:pPr>
              <w:pStyle w:val="null3"/>
              <w:jc w:val="both"/>
            </w:pPr>
            <w:r>
              <w:rPr>
                <w:rFonts w:ascii="仿宋_GB2312" w:hAnsi="仿宋_GB2312" w:cs="仿宋_GB2312" w:eastAsia="仿宋_GB2312"/>
                <w:sz w:val="21"/>
              </w:rPr>
              <w:t>驾驶员须持有合法有效的驾驶证，身体健康，无违法犯罪记录，近</w:t>
            </w:r>
            <w:r>
              <w:rPr>
                <w:rFonts w:ascii="仿宋_GB2312" w:hAnsi="仿宋_GB2312" w:cs="仿宋_GB2312" w:eastAsia="仿宋_GB2312"/>
                <w:sz w:val="21"/>
              </w:rPr>
              <w:t>3</w:t>
            </w:r>
            <w:r>
              <w:rPr>
                <w:rFonts w:ascii="仿宋_GB2312" w:hAnsi="仿宋_GB2312" w:cs="仿宋_GB2312" w:eastAsia="仿宋_GB2312"/>
                <w:sz w:val="21"/>
              </w:rPr>
              <w:t>年无重大交通安全事故，无酒驾、毒驾 、重大责任事故记录；</w:t>
            </w:r>
          </w:p>
          <w:p>
            <w:pPr>
              <w:pStyle w:val="null3"/>
              <w:jc w:val="both"/>
            </w:pPr>
            <w:r>
              <w:rPr>
                <w:rFonts w:ascii="仿宋_GB2312" w:hAnsi="仿宋_GB2312" w:cs="仿宋_GB2312" w:eastAsia="仿宋_GB2312"/>
                <w:sz w:val="21"/>
              </w:rPr>
              <w:t>驾驶员须着装整洁统一，佩戴工牌，文明用语，服务热情；</w:t>
            </w:r>
          </w:p>
          <w:p>
            <w:pPr>
              <w:pStyle w:val="null3"/>
              <w:jc w:val="both"/>
            </w:pPr>
            <w:r>
              <w:rPr>
                <w:rFonts w:ascii="仿宋_GB2312" w:hAnsi="仿宋_GB2312" w:cs="仿宋_GB2312" w:eastAsia="仿宋_GB2312"/>
                <w:sz w:val="21"/>
              </w:rPr>
              <w:t>驾驶员须熟悉线路，按时发车，不得擅自改变线路、站点或时间；</w:t>
            </w:r>
          </w:p>
          <w:p>
            <w:pPr>
              <w:pStyle w:val="null3"/>
              <w:jc w:val="both"/>
            </w:pPr>
            <w:r>
              <w:rPr>
                <w:rFonts w:ascii="仿宋_GB2312" w:hAnsi="仿宋_GB2312" w:cs="仿宋_GB2312" w:eastAsia="仿宋_GB2312"/>
                <w:sz w:val="21"/>
              </w:rPr>
              <w:t>驾驶员不得在行车过程中接打手持电话、吸烟、超速行驶；</w:t>
            </w:r>
          </w:p>
          <w:p>
            <w:pPr>
              <w:pStyle w:val="null3"/>
              <w:jc w:val="both"/>
            </w:pPr>
            <w:r>
              <w:rPr>
                <w:rFonts w:ascii="仿宋_GB2312" w:hAnsi="仿宋_GB2312" w:cs="仿宋_GB2312" w:eastAsia="仿宋_GB2312"/>
                <w:sz w:val="21"/>
              </w:rPr>
              <w:t>驾驶员须配合西安美术学院管理，接受监督，及时处理投诉；</w:t>
            </w:r>
          </w:p>
          <w:p>
            <w:pPr>
              <w:pStyle w:val="null3"/>
              <w:jc w:val="both"/>
            </w:pPr>
            <w:r>
              <w:rPr>
                <w:rFonts w:ascii="仿宋_GB2312" w:hAnsi="仿宋_GB2312" w:cs="仿宋_GB2312" w:eastAsia="仿宋_GB2312"/>
                <w:sz w:val="21"/>
              </w:rPr>
              <w:t>提供驾驶员资格证等证明材料。</w:t>
            </w:r>
          </w:p>
          <w:p>
            <w:pPr>
              <w:pStyle w:val="null3"/>
              <w:jc w:val="both"/>
            </w:pPr>
            <w:r>
              <w:rPr>
                <w:rFonts w:ascii="仿宋_GB2312" w:hAnsi="仿宋_GB2312" w:cs="仿宋_GB2312" w:eastAsia="仿宋_GB2312"/>
                <w:sz w:val="21"/>
                <w:b/>
              </w:rPr>
              <w:t>（三）服务标准</w:t>
            </w:r>
          </w:p>
          <w:p>
            <w:pPr>
              <w:pStyle w:val="null3"/>
              <w:jc w:val="both"/>
            </w:pPr>
            <w:r>
              <w:rPr>
                <w:rFonts w:ascii="仿宋_GB2312" w:hAnsi="仿宋_GB2312" w:cs="仿宋_GB2312" w:eastAsia="仿宋_GB2312"/>
                <w:sz w:val="21"/>
              </w:rPr>
              <w:t>按时发车，确保准时到达，延误</w:t>
            </w:r>
            <w:r>
              <w:rPr>
                <w:rFonts w:ascii="仿宋_GB2312" w:hAnsi="仿宋_GB2312" w:cs="仿宋_GB2312" w:eastAsia="仿宋_GB2312"/>
                <w:sz w:val="21"/>
              </w:rPr>
              <w:t>≥</w:t>
            </w:r>
            <w:r>
              <w:rPr>
                <w:rFonts w:ascii="仿宋_GB2312" w:hAnsi="仿宋_GB2312" w:cs="仿宋_GB2312" w:eastAsia="仿宋_GB2312"/>
                <w:sz w:val="21"/>
              </w:rPr>
              <w:t xml:space="preserve">30 </w:t>
            </w:r>
            <w:r>
              <w:rPr>
                <w:rFonts w:ascii="仿宋_GB2312" w:hAnsi="仿宋_GB2312" w:cs="仿宋_GB2312" w:eastAsia="仿宋_GB2312"/>
                <w:sz w:val="21"/>
              </w:rPr>
              <w:t>分钟：每次视情节酌情扣罚</w:t>
            </w:r>
            <w:r>
              <w:rPr>
                <w:rFonts w:ascii="仿宋_GB2312" w:hAnsi="仿宋_GB2312" w:cs="仿宋_GB2312" w:eastAsia="仿宋_GB2312"/>
                <w:sz w:val="21"/>
              </w:rPr>
              <w:t>500-2000</w:t>
            </w:r>
            <w:r>
              <w:rPr>
                <w:rFonts w:ascii="仿宋_GB2312" w:hAnsi="仿宋_GB2312" w:cs="仿宋_GB2312" w:eastAsia="仿宋_GB2312"/>
                <w:sz w:val="21"/>
              </w:rPr>
              <w:t>元</w:t>
            </w:r>
            <w:r>
              <w:rPr>
                <w:rFonts w:ascii="仿宋_GB2312" w:hAnsi="仿宋_GB2312" w:cs="仿宋_GB2312" w:eastAsia="仿宋_GB2312"/>
                <w:sz w:val="21"/>
              </w:rPr>
              <w:t>，</w:t>
            </w:r>
            <w:r>
              <w:rPr>
                <w:rFonts w:ascii="仿宋_GB2312" w:hAnsi="仿宋_GB2312" w:cs="仿宋_GB2312" w:eastAsia="仿宋_GB2312"/>
                <w:sz w:val="21"/>
              </w:rPr>
              <w:t>月度累计</w:t>
            </w:r>
            <w:r>
              <w:rPr>
                <w:rFonts w:ascii="仿宋_GB2312" w:hAnsi="仿宋_GB2312" w:cs="仿宋_GB2312" w:eastAsia="仿宋_GB2312"/>
                <w:sz w:val="21"/>
              </w:rPr>
              <w:t>3</w:t>
            </w:r>
            <w:r>
              <w:rPr>
                <w:rFonts w:ascii="仿宋_GB2312" w:hAnsi="仿宋_GB2312" w:cs="仿宋_GB2312" w:eastAsia="仿宋_GB2312"/>
                <w:sz w:val="21"/>
              </w:rPr>
              <w:t>次，校方有权解约；</w:t>
            </w:r>
          </w:p>
          <w:p>
            <w:pPr>
              <w:pStyle w:val="null3"/>
              <w:jc w:val="both"/>
            </w:pPr>
            <w:r>
              <w:rPr>
                <w:rFonts w:ascii="仿宋_GB2312" w:hAnsi="仿宋_GB2312" w:cs="仿宋_GB2312" w:eastAsia="仿宋_GB2312"/>
                <w:sz w:val="21"/>
              </w:rPr>
              <w:t>车辆须提前到达始发站，做好发车准备；</w:t>
            </w:r>
          </w:p>
          <w:p>
            <w:pPr>
              <w:pStyle w:val="null3"/>
              <w:jc w:val="both"/>
            </w:pPr>
            <w:r>
              <w:rPr>
                <w:rFonts w:ascii="仿宋_GB2312" w:hAnsi="仿宋_GB2312" w:cs="仿宋_GB2312" w:eastAsia="仿宋_GB2312"/>
                <w:sz w:val="21"/>
              </w:rPr>
              <w:t>服务过程中须文明驾驶，确保师生安全；</w:t>
            </w:r>
          </w:p>
          <w:p>
            <w:pPr>
              <w:pStyle w:val="null3"/>
              <w:jc w:val="both"/>
            </w:pPr>
            <w:r>
              <w:rPr>
                <w:rFonts w:ascii="仿宋_GB2312" w:hAnsi="仿宋_GB2312" w:cs="仿宋_GB2312" w:eastAsia="仿宋_GB2312"/>
                <w:sz w:val="21"/>
              </w:rPr>
              <w:t>如遇车辆故障，须在市区</w:t>
            </w:r>
            <w:r>
              <w:rPr>
                <w:rFonts w:ascii="仿宋_GB2312" w:hAnsi="仿宋_GB2312" w:cs="仿宋_GB2312" w:eastAsia="仿宋_GB2312"/>
                <w:sz w:val="21"/>
              </w:rPr>
              <w:t>30</w:t>
            </w:r>
            <w:r>
              <w:rPr>
                <w:rFonts w:ascii="仿宋_GB2312" w:hAnsi="仿宋_GB2312" w:cs="仿宋_GB2312" w:eastAsia="仿宋_GB2312"/>
                <w:sz w:val="21"/>
              </w:rPr>
              <w:t>分钟、郊区</w:t>
            </w:r>
            <w:r>
              <w:rPr>
                <w:rFonts w:ascii="仿宋_GB2312" w:hAnsi="仿宋_GB2312" w:cs="仿宋_GB2312" w:eastAsia="仿宋_GB2312"/>
                <w:sz w:val="21"/>
              </w:rPr>
              <w:t>1</w:t>
            </w:r>
            <w:r>
              <w:rPr>
                <w:rFonts w:ascii="仿宋_GB2312" w:hAnsi="仿宋_GB2312" w:cs="仿宋_GB2312" w:eastAsia="仿宋_GB2312"/>
                <w:sz w:val="21"/>
              </w:rPr>
              <w:t>小时内调配替换车辆；</w:t>
            </w:r>
          </w:p>
          <w:p>
            <w:pPr>
              <w:pStyle w:val="null3"/>
              <w:jc w:val="both"/>
            </w:pPr>
            <w:r>
              <w:rPr>
                <w:rFonts w:ascii="仿宋_GB2312" w:hAnsi="仿宋_GB2312" w:cs="仿宋_GB2312" w:eastAsia="仿宋_GB2312"/>
                <w:sz w:val="21"/>
              </w:rPr>
              <w:t>供应商须指定专人负责调度，制定应急预案并报采购人备案；</w:t>
            </w:r>
          </w:p>
          <w:p>
            <w:pPr>
              <w:pStyle w:val="null3"/>
              <w:jc w:val="both"/>
            </w:pPr>
            <w:r>
              <w:rPr>
                <w:rFonts w:ascii="仿宋_GB2312" w:hAnsi="仿宋_GB2312" w:cs="仿宋_GB2312" w:eastAsia="仿宋_GB2312"/>
                <w:sz w:val="21"/>
              </w:rPr>
              <w:t>供应商须配合西安美术学院开展节假日人文关怀活动，提供小礼品等增值服务。</w:t>
            </w:r>
          </w:p>
          <w:p>
            <w:pPr>
              <w:pStyle w:val="null3"/>
              <w:jc w:val="both"/>
            </w:pPr>
            <w:r>
              <w:rPr>
                <w:rFonts w:ascii="仿宋_GB2312" w:hAnsi="仿宋_GB2312" w:cs="仿宋_GB2312" w:eastAsia="仿宋_GB2312"/>
                <w:sz w:val="21"/>
                <w:b/>
              </w:rPr>
              <w:t>（四）其他要求</w:t>
            </w:r>
          </w:p>
          <w:p>
            <w:pPr>
              <w:pStyle w:val="null3"/>
              <w:jc w:val="both"/>
            </w:pPr>
            <w:r>
              <w:rPr>
                <w:rFonts w:ascii="仿宋_GB2312" w:hAnsi="仿宋_GB2312" w:cs="仿宋_GB2312" w:eastAsia="仿宋_GB2312"/>
                <w:sz w:val="21"/>
              </w:rPr>
              <w:t>行车安全、交通事故、人员伤亡、财产损失全部由供应商承担，校方不承担相关责任；</w:t>
            </w:r>
          </w:p>
          <w:p>
            <w:pPr>
              <w:pStyle w:val="null3"/>
              <w:jc w:val="both"/>
            </w:pPr>
            <w:r>
              <w:rPr>
                <w:rFonts w:ascii="仿宋_GB2312" w:hAnsi="仿宋_GB2312" w:cs="仿宋_GB2312" w:eastAsia="仿宋_GB2312"/>
                <w:sz w:val="21"/>
              </w:rPr>
              <w:t>供应商应具备完善的车辆管理和驾驶员培训体系；</w:t>
            </w:r>
          </w:p>
          <w:p>
            <w:pPr>
              <w:pStyle w:val="null3"/>
            </w:pPr>
            <w:r>
              <w:rPr>
                <w:rFonts w:ascii="仿宋_GB2312" w:hAnsi="仿宋_GB2312" w:cs="仿宋_GB2312" w:eastAsia="仿宋_GB2312"/>
                <w:sz w:val="21"/>
              </w:rPr>
              <w:t>供应商应具备应急处理和故障救援能力。</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四、线路运营安排</w:t>
            </w:r>
          </w:p>
          <w:p>
            <w:pPr>
              <w:pStyle w:val="null3"/>
              <w:jc w:val="both"/>
            </w:pPr>
            <w:r>
              <w:rPr>
                <w:rFonts w:ascii="仿宋_GB2312" w:hAnsi="仿宋_GB2312" w:cs="仿宋_GB2312" w:eastAsia="仿宋_GB2312"/>
                <w:sz w:val="21"/>
              </w:rPr>
              <w:t>（一）日常通勤线路</w:t>
            </w:r>
          </w:p>
          <w:tbl>
            <w:tblPr>
              <w:tblInd w:type="dxa" w:w="120"/>
              <w:tblBorders>
                <w:top w:val="none" w:color="000000" w:sz="4"/>
                <w:left w:val="none" w:color="000000" w:sz="4"/>
                <w:bottom w:val="none" w:color="000000" w:sz="4"/>
                <w:right w:val="none" w:color="000000" w:sz="4"/>
                <w:insideH w:val="none"/>
                <w:insideV w:val="none"/>
              </w:tblBorders>
            </w:tblPr>
            <w:tblGrid>
              <w:gridCol w:w="622"/>
              <w:gridCol w:w="688"/>
              <w:gridCol w:w="622"/>
              <w:gridCol w:w="622"/>
            </w:tblGrid>
            <w:tr>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始发地点</w:t>
                  </w:r>
                </w:p>
              </w:tc>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发车时间</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车辆数</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终到站点</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雁塔校区</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7:05</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长安校区</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雁塔校区</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7:25</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长安校区</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长安校区</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12:10</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雁塔校区</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雁塔校区</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13:20</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长安校区</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长安校区</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18:00</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雁塔校区</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长安校区</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18:20</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雁塔校区</w:t>
                  </w:r>
                </w:p>
              </w:tc>
            </w:tr>
          </w:tbl>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通勤车</w:t>
            </w:r>
            <w:r>
              <w:rPr>
                <w:rFonts w:ascii="仿宋_GB2312" w:hAnsi="仿宋_GB2312" w:cs="仿宋_GB2312" w:eastAsia="仿宋_GB2312"/>
                <w:sz w:val="21"/>
                <w:b/>
              </w:rPr>
              <w:t>计价结算方法</w:t>
            </w:r>
          </w:p>
          <w:p>
            <w:pPr>
              <w:pStyle w:val="null3"/>
              <w:jc w:val="both"/>
            </w:pPr>
            <w:r>
              <w:rPr>
                <w:rFonts w:ascii="仿宋_GB2312" w:hAnsi="仿宋_GB2312" w:cs="仿宋_GB2312" w:eastAsia="仿宋_GB2312"/>
                <w:sz w:val="21"/>
              </w:rPr>
              <w:t>1、两辆车，共运行</w:t>
            </w:r>
            <w:r>
              <w:rPr>
                <w:rFonts w:ascii="仿宋_GB2312" w:hAnsi="仿宋_GB2312" w:cs="仿宋_GB2312" w:eastAsia="仿宋_GB2312"/>
                <w:sz w:val="21"/>
              </w:rPr>
              <w:t>3</w:t>
            </w:r>
            <w:r>
              <w:rPr>
                <w:rFonts w:ascii="仿宋_GB2312" w:hAnsi="仿宋_GB2312" w:cs="仿宋_GB2312" w:eastAsia="仿宋_GB2312"/>
                <w:sz w:val="21"/>
              </w:rPr>
              <w:t>圈，根据院历教学时间估算，</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学年（</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w:t>
            </w:r>
            <w:r>
              <w:rPr>
                <w:rFonts w:ascii="仿宋_GB2312" w:hAnsi="仿宋_GB2312" w:cs="仿宋_GB2312" w:eastAsia="仿宋_GB2312"/>
                <w:sz w:val="21"/>
              </w:rPr>
              <w:t>-202</w:t>
            </w:r>
            <w:r>
              <w:rPr>
                <w:rFonts w:ascii="仿宋_GB2312" w:hAnsi="仿宋_GB2312" w:cs="仿宋_GB2312" w:eastAsia="仿宋_GB2312"/>
                <w:sz w:val="21"/>
              </w:rPr>
              <w:t>7</w:t>
            </w:r>
            <w:r>
              <w:rPr>
                <w:rFonts w:ascii="仿宋_GB2312" w:hAnsi="仿宋_GB2312" w:cs="仿宋_GB2312" w:eastAsia="仿宋_GB2312"/>
                <w:sz w:val="21"/>
              </w:rPr>
              <w:t>年</w:t>
            </w:r>
            <w:r>
              <w:rPr>
                <w:rFonts w:ascii="仿宋_GB2312" w:hAnsi="仿宋_GB2312" w:cs="仿宋_GB2312" w:eastAsia="仿宋_GB2312"/>
                <w:sz w:val="21"/>
              </w:rPr>
              <w:t>8</w:t>
            </w:r>
            <w:r>
              <w:rPr>
                <w:rFonts w:ascii="仿宋_GB2312" w:hAnsi="仿宋_GB2312" w:cs="仿宋_GB2312" w:eastAsia="仿宋_GB2312"/>
                <w:sz w:val="21"/>
              </w:rPr>
              <w:t>月），运行日为</w:t>
            </w:r>
            <w:r>
              <w:rPr>
                <w:rFonts w:ascii="仿宋_GB2312" w:hAnsi="仿宋_GB2312" w:cs="仿宋_GB2312" w:eastAsia="仿宋_GB2312"/>
                <w:sz w:val="21"/>
              </w:rPr>
              <w:t>185</w:t>
            </w:r>
            <w:r>
              <w:rPr>
                <w:rFonts w:ascii="仿宋_GB2312" w:hAnsi="仿宋_GB2312" w:cs="仿宋_GB2312" w:eastAsia="仿宋_GB2312"/>
                <w:sz w:val="21"/>
              </w:rPr>
              <w:t>天。</w:t>
            </w:r>
          </w:p>
          <w:p>
            <w:pPr>
              <w:pStyle w:val="null3"/>
              <w:jc w:val="both"/>
            </w:pPr>
            <w:r>
              <w:rPr>
                <w:rFonts w:ascii="仿宋_GB2312" w:hAnsi="仿宋_GB2312" w:cs="仿宋_GB2312" w:eastAsia="仿宋_GB2312"/>
                <w:sz w:val="21"/>
              </w:rPr>
              <w:t>2、两个校区间一个往返为一圈，单价为一辆车跑一圈的价格，圈数为每个运行日两辆车跑的圈数的总和。</w:t>
            </w:r>
          </w:p>
          <w:p>
            <w:pPr>
              <w:pStyle w:val="null3"/>
              <w:jc w:val="both"/>
            </w:pPr>
            <w:r>
              <w:rPr>
                <w:rFonts w:ascii="仿宋_GB2312" w:hAnsi="仿宋_GB2312" w:cs="仿宋_GB2312" w:eastAsia="仿宋_GB2312"/>
                <w:sz w:val="21"/>
              </w:rPr>
              <w:t>3、计算公式：费用</w:t>
            </w:r>
            <w:r>
              <w:rPr>
                <w:rFonts w:ascii="仿宋_GB2312" w:hAnsi="仿宋_GB2312" w:cs="仿宋_GB2312" w:eastAsia="仿宋_GB2312"/>
                <w:sz w:val="21"/>
              </w:rPr>
              <w:t>=</w:t>
            </w:r>
            <w:r>
              <w:rPr>
                <w:rFonts w:ascii="仿宋_GB2312" w:hAnsi="仿宋_GB2312" w:cs="仿宋_GB2312" w:eastAsia="仿宋_GB2312"/>
                <w:sz w:val="21"/>
              </w:rPr>
              <w:t>圈数（</w:t>
            </w:r>
            <w:r>
              <w:rPr>
                <w:rFonts w:ascii="仿宋_GB2312" w:hAnsi="仿宋_GB2312" w:cs="仿宋_GB2312" w:eastAsia="仿宋_GB2312"/>
                <w:sz w:val="21"/>
              </w:rPr>
              <w:t>3</w:t>
            </w:r>
            <w:r>
              <w:rPr>
                <w:rFonts w:ascii="仿宋_GB2312" w:hAnsi="仿宋_GB2312" w:cs="仿宋_GB2312" w:eastAsia="仿宋_GB2312"/>
                <w:sz w:val="21"/>
              </w:rPr>
              <w:t>圈）×单价（元</w:t>
            </w:r>
            <w:r>
              <w:rPr>
                <w:rFonts w:ascii="仿宋_GB2312" w:hAnsi="仿宋_GB2312" w:cs="仿宋_GB2312" w:eastAsia="仿宋_GB2312"/>
                <w:sz w:val="21"/>
              </w:rPr>
              <w:t>/</w:t>
            </w:r>
            <w:r>
              <w:rPr>
                <w:rFonts w:ascii="仿宋_GB2312" w:hAnsi="仿宋_GB2312" w:cs="仿宋_GB2312" w:eastAsia="仿宋_GB2312"/>
                <w:sz w:val="21"/>
              </w:rPr>
              <w:t>圈）×运行日</w:t>
            </w:r>
          </w:p>
          <w:p>
            <w:pPr>
              <w:pStyle w:val="null3"/>
              <w:jc w:val="both"/>
            </w:pPr>
            <w:r>
              <w:rPr>
                <w:rFonts w:ascii="仿宋_GB2312" w:hAnsi="仿宋_GB2312" w:cs="仿宋_GB2312" w:eastAsia="仿宋_GB2312"/>
                <w:sz w:val="21"/>
                <w:b/>
              </w:rPr>
              <w:t>（三）临时用车安排</w:t>
            </w:r>
          </w:p>
          <w:p>
            <w:pPr>
              <w:pStyle w:val="null3"/>
            </w:pPr>
            <w:r>
              <w:rPr>
                <w:rFonts w:ascii="仿宋_GB2312" w:hAnsi="仿宋_GB2312" w:cs="仿宋_GB2312" w:eastAsia="仿宋_GB2312"/>
                <w:sz w:val="21"/>
              </w:rPr>
              <w:t>根据西安美术学院实际需求，提供临时用车服务，每公里单价参照固定用车</w:t>
            </w:r>
            <w:r>
              <w:rPr>
                <w:rFonts w:ascii="仿宋_GB2312" w:hAnsi="仿宋_GB2312" w:cs="仿宋_GB2312" w:eastAsia="仿宋_GB2312"/>
                <w:sz w:val="21"/>
              </w:rPr>
              <w:t>(</w:t>
            </w:r>
            <w:r>
              <w:rPr>
                <w:rFonts w:ascii="仿宋_GB2312" w:hAnsi="仿宋_GB2312" w:cs="仿宋_GB2312" w:eastAsia="仿宋_GB2312"/>
                <w:sz w:val="21"/>
              </w:rPr>
              <w:t>通勤车</w:t>
            </w:r>
            <w:r>
              <w:rPr>
                <w:rFonts w:ascii="仿宋_GB2312" w:hAnsi="仿宋_GB2312" w:cs="仿宋_GB2312" w:eastAsia="仿宋_GB2312"/>
                <w:sz w:val="21"/>
              </w:rPr>
              <w:t>)</w:t>
            </w:r>
            <w:r>
              <w:rPr>
                <w:rFonts w:ascii="仿宋_GB2312" w:hAnsi="仿宋_GB2312" w:cs="仿宋_GB2312" w:eastAsia="仿宋_GB2312"/>
                <w:sz w:val="21"/>
              </w:rPr>
              <w:t>的折算单价，超出</w:t>
            </w:r>
            <w:r>
              <w:rPr>
                <w:rFonts w:ascii="仿宋_GB2312" w:hAnsi="仿宋_GB2312" w:cs="仿宋_GB2312" w:eastAsia="仿宋_GB2312"/>
                <w:sz w:val="21"/>
              </w:rPr>
              <w:t>100</w:t>
            </w:r>
            <w:r>
              <w:rPr>
                <w:rFonts w:ascii="仿宋_GB2312" w:hAnsi="仿宋_GB2312" w:cs="仿宋_GB2312" w:eastAsia="仿宋_GB2312"/>
                <w:sz w:val="21"/>
              </w:rPr>
              <w:t>公里另行协商。</w:t>
            </w:r>
          </w:p>
          <w:p>
            <w:pPr>
              <w:pStyle w:val="null3"/>
            </w:pPr>
            <w:r>
              <w:rPr>
                <w:rFonts w:ascii="仿宋_GB2312" w:hAnsi="仿宋_GB2312" w:cs="仿宋_GB2312" w:eastAsia="仿宋_GB2312"/>
                <w:sz w:val="21"/>
                <w:b/>
              </w:rPr>
              <w:t>（四）报价要求</w:t>
            </w:r>
          </w:p>
          <w:p>
            <w:pPr>
              <w:pStyle w:val="null3"/>
            </w:pPr>
            <w:r>
              <w:rPr>
                <w:rFonts w:ascii="仿宋_GB2312" w:hAnsi="仿宋_GB2312" w:cs="仿宋_GB2312" w:eastAsia="仿宋_GB2312"/>
                <w:sz w:val="21"/>
              </w:rPr>
              <w:t xml:space="preserve">本项目包括固定用车（通勤车）及临时用车，固定用车的最高限价（单价）：780元/圈，临时用车每公里单价参照固定用车（通勤车）的折算单价。供应商报价时只需报固定用车（通勤车）价格。 </w:t>
            </w:r>
            <w:r>
              <w:rPr>
                <w:rFonts w:ascii="仿宋_GB2312" w:hAnsi="仿宋_GB2312" w:cs="仿宋_GB2312" w:eastAsia="仿宋_GB2312"/>
                <w:sz w:val="21"/>
                <w:b/>
              </w:rPr>
              <w:t>注：报价形式为单价。</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五、服务质量与评价标准</w:t>
            </w:r>
          </w:p>
          <w:p>
            <w:pPr>
              <w:pStyle w:val="null3"/>
              <w:jc w:val="both"/>
            </w:pPr>
            <w:r>
              <w:rPr>
                <w:rFonts w:ascii="仿宋_GB2312" w:hAnsi="仿宋_GB2312" w:cs="仿宋_GB2312" w:eastAsia="仿宋_GB2312"/>
                <w:sz w:val="21"/>
              </w:rPr>
              <w:t>采购人定期对服务质量进行考评，内容包括准时率、服务态度、车辆状况、应急处理能力等；</w:t>
            </w:r>
          </w:p>
          <w:p>
            <w:pPr>
              <w:pStyle w:val="null3"/>
              <w:jc w:val="both"/>
            </w:pPr>
            <w:r>
              <w:rPr>
                <w:rFonts w:ascii="仿宋_GB2312" w:hAnsi="仿宋_GB2312" w:cs="仿宋_GB2312" w:eastAsia="仿宋_GB2312"/>
                <w:sz w:val="21"/>
              </w:rPr>
              <w:t>要求服务质量达到合格以上，当月考核分数达到</w:t>
            </w:r>
            <w:r>
              <w:rPr>
                <w:rFonts w:ascii="仿宋_GB2312" w:hAnsi="仿宋_GB2312" w:cs="仿宋_GB2312" w:eastAsia="仿宋_GB2312"/>
                <w:sz w:val="21"/>
              </w:rPr>
              <w:t>95分以上；</w:t>
            </w:r>
            <w:r>
              <w:rPr>
                <w:rFonts w:ascii="仿宋_GB2312" w:hAnsi="仿宋_GB2312" w:cs="仿宋_GB2312" w:eastAsia="仿宋_GB2312"/>
                <w:sz w:val="21"/>
              </w:rPr>
              <w:t>详见通勤车辆服务考核表附件。</w:t>
            </w:r>
          </w:p>
          <w:p>
            <w:pPr>
              <w:pStyle w:val="null3"/>
              <w:jc w:val="both"/>
            </w:pPr>
            <w:r>
              <w:rPr>
                <w:rFonts w:ascii="仿宋_GB2312" w:hAnsi="仿宋_GB2312" w:cs="仿宋_GB2312" w:eastAsia="仿宋_GB2312"/>
                <w:sz w:val="21"/>
              </w:rPr>
              <w:t>如发生延误、投诉、事故等，按合同约定扣减相应服务费；</w:t>
            </w:r>
          </w:p>
          <w:p>
            <w:pPr>
              <w:pStyle w:val="null3"/>
              <w:jc w:val="both"/>
            </w:pPr>
            <w:r>
              <w:rPr>
                <w:rFonts w:ascii="仿宋_GB2312" w:hAnsi="仿宋_GB2312" w:cs="仿宋_GB2312" w:eastAsia="仿宋_GB2312"/>
                <w:sz w:val="21"/>
              </w:rPr>
              <w:t>一年内累计发生</w:t>
            </w:r>
            <w:r>
              <w:rPr>
                <w:rFonts w:ascii="仿宋_GB2312" w:hAnsi="仿宋_GB2312" w:cs="仿宋_GB2312" w:eastAsia="仿宋_GB2312"/>
                <w:sz w:val="21"/>
              </w:rPr>
              <w:t>3次及以上严重违约行为，采购人有权解除合同，并将供应商列入不良供应商名单。</w:t>
            </w:r>
          </w:p>
          <w:p>
            <w:pPr>
              <w:pStyle w:val="null3"/>
              <w:jc w:val="both"/>
            </w:pPr>
            <w:r>
              <w:rPr>
                <w:rFonts w:ascii="仿宋_GB2312" w:hAnsi="仿宋_GB2312" w:cs="仿宋_GB2312" w:eastAsia="仿宋_GB2312"/>
                <w:sz w:val="21"/>
              </w:rPr>
              <w:t>附件：</w:t>
            </w:r>
          </w:p>
          <w:p>
            <w:pPr>
              <w:pStyle w:val="null3"/>
              <w:jc w:val="center"/>
            </w:pPr>
            <w:r>
              <w:rPr>
                <w:rFonts w:ascii="仿宋_GB2312" w:hAnsi="仿宋_GB2312" w:cs="仿宋_GB2312" w:eastAsia="仿宋_GB2312"/>
                <w:sz w:val="21"/>
              </w:rPr>
              <w:t>西安美术学院通勤车辆服务考核表</w:t>
            </w:r>
          </w:p>
          <w:p>
            <w:pPr>
              <w:pStyle w:val="null3"/>
              <w:jc w:val="both"/>
            </w:pPr>
            <w:r>
              <w:rPr>
                <w:rFonts w:ascii="仿宋_GB2312" w:hAnsi="仿宋_GB2312" w:cs="仿宋_GB2312" w:eastAsia="仿宋_GB2312"/>
                <w:sz w:val="21"/>
              </w:rPr>
              <w:t>考核人：</w:t>
            </w:r>
            <w:r>
              <w:rPr>
                <w:rFonts w:ascii="仿宋_GB2312" w:hAnsi="仿宋_GB2312" w:cs="仿宋_GB2312" w:eastAsia="仿宋_GB2312"/>
                <w:sz w:val="21"/>
                <w:u w:val="single"/>
              </w:rPr>
              <w:t xml:space="preserve">              </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被考核人：</w:t>
            </w:r>
            <w:r>
              <w:rPr>
                <w:rFonts w:ascii="仿宋_GB2312" w:hAnsi="仿宋_GB2312" w:cs="仿宋_GB2312" w:eastAsia="仿宋_GB2312"/>
                <w:sz w:val="21"/>
                <w:u w:val="single"/>
              </w:rPr>
              <w:t xml:space="preserve">             </w:t>
            </w:r>
          </w:p>
          <w:p>
            <w:pPr>
              <w:pStyle w:val="null3"/>
              <w:jc w:val="both"/>
            </w:pPr>
            <w:r>
              <w:rPr>
                <w:rFonts w:ascii="仿宋_GB2312" w:hAnsi="仿宋_GB2312" w:cs="仿宋_GB2312" w:eastAsia="仿宋_GB2312"/>
                <w:sz w:val="21"/>
              </w:rPr>
              <w:t>考核时间：</w:t>
            </w: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r>
              <w:rPr>
                <w:rFonts w:ascii="仿宋_GB2312" w:hAnsi="仿宋_GB2312" w:cs="仿宋_GB2312" w:eastAsia="仿宋_GB2312"/>
                <w:sz w:val="21"/>
              </w:rPr>
              <w:t>日</w:t>
            </w:r>
          </w:p>
          <w:tbl>
            <w:tblPr>
              <w:tblBorders>
                <w:top w:val="none" w:color="000000" w:sz="4"/>
                <w:left w:val="none" w:color="000000" w:sz="4"/>
                <w:bottom w:val="none" w:color="000000" w:sz="4"/>
                <w:right w:val="none" w:color="000000" w:sz="4"/>
                <w:insideH w:val="none"/>
                <w:insideV w:val="none"/>
              </w:tblBorders>
            </w:tblPr>
            <w:tblGrid>
              <w:gridCol w:w="249"/>
              <w:gridCol w:w="174"/>
              <w:gridCol w:w="305"/>
              <w:gridCol w:w="1270"/>
              <w:gridCol w:w="180"/>
              <w:gridCol w:w="180"/>
              <w:gridCol w:w="180"/>
            </w:tblGrid>
            <w:tr>
              <w:tc>
                <w:tcPr>
                  <w:tcW w:type="dxa" w:w="249"/>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b/>
                    </w:rPr>
                    <w:t>考核项目</w:t>
                  </w:r>
                </w:p>
              </w:tc>
              <w:tc>
                <w:tcPr>
                  <w:tcW w:type="dxa" w:w="174"/>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b/>
                    </w:rPr>
                    <w:t>序号</w:t>
                  </w:r>
                </w:p>
              </w:tc>
              <w:tc>
                <w:tcPr>
                  <w:tcW w:type="dxa" w:w="305"/>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b/>
                    </w:rPr>
                    <w:t>考核内容</w:t>
                  </w:r>
                </w:p>
              </w:tc>
              <w:tc>
                <w:tcPr>
                  <w:tcW w:type="dxa" w:w="1270"/>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b/>
                    </w:rPr>
                    <w:t>标准细则</w:t>
                  </w:r>
                </w:p>
              </w:tc>
              <w:tc>
                <w:tcPr>
                  <w:tcW w:type="dxa" w:w="180"/>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b/>
                    </w:rPr>
                    <w:t>分</w:t>
                  </w:r>
                </w:p>
                <w:p>
                  <w:pPr>
                    <w:pStyle w:val="null3"/>
                    <w:jc w:val="center"/>
                  </w:pPr>
                  <w:r>
                    <w:rPr>
                      <w:rFonts w:ascii="仿宋_GB2312" w:hAnsi="仿宋_GB2312" w:cs="仿宋_GB2312" w:eastAsia="仿宋_GB2312"/>
                      <w:sz w:val="18"/>
                      <w:b/>
                    </w:rPr>
                    <w:t>值</w:t>
                  </w:r>
                </w:p>
              </w:tc>
              <w:tc>
                <w:tcPr>
                  <w:tcW w:type="dxa" w:w="180"/>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b/>
                    </w:rPr>
                    <w:t>得</w:t>
                  </w:r>
                </w:p>
                <w:p>
                  <w:pPr>
                    <w:pStyle w:val="null3"/>
                    <w:jc w:val="center"/>
                  </w:pPr>
                  <w:r>
                    <w:rPr>
                      <w:rFonts w:ascii="仿宋_GB2312" w:hAnsi="仿宋_GB2312" w:cs="仿宋_GB2312" w:eastAsia="仿宋_GB2312"/>
                      <w:sz w:val="18"/>
                      <w:b/>
                    </w:rPr>
                    <w:t>分</w:t>
                  </w:r>
                </w:p>
              </w:tc>
              <w:tc>
                <w:tcPr>
                  <w:tcW w:type="dxa" w:w="180"/>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b/>
                    </w:rPr>
                    <w:t>备</w:t>
                  </w:r>
                </w:p>
                <w:p>
                  <w:pPr>
                    <w:pStyle w:val="null3"/>
                    <w:jc w:val="center"/>
                  </w:pPr>
                  <w:r>
                    <w:rPr>
                      <w:rFonts w:ascii="仿宋_GB2312" w:hAnsi="仿宋_GB2312" w:cs="仿宋_GB2312" w:eastAsia="仿宋_GB2312"/>
                      <w:sz w:val="18"/>
                      <w:b/>
                    </w:rPr>
                    <w:t>注</w:t>
                  </w:r>
                </w:p>
              </w:tc>
            </w:tr>
            <w:tr>
              <w:tc>
                <w:tcPr>
                  <w:tcW w:type="dxa" w:w="249"/>
                  <w:vMerge w:val="restart"/>
                  <w:tcBorders>
                    <w:top w:val="none" w:color="000000" w:sz="4"/>
                    <w:left w:val="single" w:color="000000" w:sz="4"/>
                    <w:bottom w:val="non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车辆管理</w:t>
                  </w:r>
                </w:p>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25分）</w:t>
                  </w:r>
                </w:p>
              </w:tc>
              <w:tc>
                <w:tcPr>
                  <w:tcW w:type="dxa" w:w="17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1</w:t>
                  </w:r>
                </w:p>
              </w:tc>
              <w:tc>
                <w:tcPr>
                  <w:tcW w:type="dxa" w:w="3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车辆技术状况及清洁</w:t>
                  </w:r>
                </w:p>
              </w:tc>
              <w:tc>
                <w:tcPr>
                  <w:tcW w:type="dxa" w:w="127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车辆符合合同要求（登记</w:t>
                  </w:r>
                  <w:r>
                    <w:rPr>
                      <w:rFonts w:ascii="仿宋_GB2312" w:hAnsi="仿宋_GB2312" w:cs="仿宋_GB2312" w:eastAsia="仿宋_GB2312"/>
                      <w:sz w:val="18"/>
                    </w:rPr>
                    <w:t>≤5年，里程≤10万公里）；车况良好，车容整洁，空调暖风正常。每发现1项不达标扣2分。</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6</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tc>
            </w:tr>
            <w:tr>
              <w:tc>
                <w:tcPr>
                  <w:tcW w:type="dxa" w:w="249"/>
                  <w:vMerge/>
                  <w:tcBorders>
                    <w:top w:val="none" w:color="000000" w:sz="4"/>
                    <w:left w:val="single" w:color="000000" w:sz="4"/>
                    <w:bottom w:val="none" w:color="000000" w:sz="4"/>
                    <w:right w:val="single" w:color="000000" w:sz="4"/>
                  </w:tcBorders>
                </w:tcPr>
                <w:p/>
              </w:tc>
              <w:tc>
                <w:tcPr>
                  <w:tcW w:type="dxa" w:w="17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2</w:t>
                  </w:r>
                </w:p>
              </w:tc>
              <w:tc>
                <w:tcPr>
                  <w:tcW w:type="dxa" w:w="3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随车配备及保险</w:t>
                  </w:r>
                </w:p>
              </w:tc>
              <w:tc>
                <w:tcPr>
                  <w:tcW w:type="dxa" w:w="127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配备雨伞、爱心椅、医药箱（含指定物品）；保险齐全（交强险、承运人险</w:t>
                  </w:r>
                  <w:r>
                    <w:rPr>
                      <w:rFonts w:ascii="仿宋_GB2312" w:hAnsi="仿宋_GB2312" w:cs="仿宋_GB2312" w:eastAsia="仿宋_GB2312"/>
                      <w:sz w:val="18"/>
                    </w:rPr>
                    <w:t>≥50万/座、商业险）。每缺1项扣2分。</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6</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tc>
            </w:tr>
            <w:tr>
              <w:tc>
                <w:tcPr>
                  <w:tcW w:type="dxa" w:w="249"/>
                  <w:vMerge/>
                  <w:tcBorders>
                    <w:top w:val="none" w:color="000000" w:sz="4"/>
                    <w:left w:val="single" w:color="000000" w:sz="4"/>
                    <w:bottom w:val="none" w:color="000000" w:sz="4"/>
                    <w:right w:val="single" w:color="000000" w:sz="4"/>
                  </w:tcBorders>
                </w:tcPr>
                <w:p/>
              </w:tc>
              <w:tc>
                <w:tcPr>
                  <w:tcW w:type="dxa" w:w="17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3</w:t>
                  </w:r>
                </w:p>
              </w:tc>
              <w:tc>
                <w:tcPr>
                  <w:tcW w:type="dxa" w:w="3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车辆更换管理</w:t>
                  </w:r>
                </w:p>
              </w:tc>
              <w:tc>
                <w:tcPr>
                  <w:tcW w:type="dxa" w:w="127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不得擅自更换车辆；确需更换须提前</w:t>
                  </w:r>
                  <w:r>
                    <w:rPr>
                      <w:rFonts w:ascii="仿宋_GB2312" w:hAnsi="仿宋_GB2312" w:cs="仿宋_GB2312" w:eastAsia="仿宋_GB2312"/>
                      <w:sz w:val="18"/>
                    </w:rPr>
                    <w:t>7日书面申请并经甲方同意，更换车辆须符合全部要求。擅自更换每次扣3分。</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6</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tc>
            </w:tr>
            <w:tr>
              <w:tc>
                <w:tcPr>
                  <w:tcW w:type="dxa" w:w="249"/>
                  <w:vMerge/>
                  <w:tcBorders>
                    <w:top w:val="none" w:color="000000" w:sz="4"/>
                    <w:left w:val="single" w:color="000000" w:sz="4"/>
                    <w:bottom w:val="none" w:color="000000" w:sz="4"/>
                    <w:right w:val="single" w:color="000000" w:sz="4"/>
                  </w:tcBorders>
                </w:tcPr>
                <w:p/>
              </w:tc>
              <w:tc>
                <w:tcPr>
                  <w:tcW w:type="dxa" w:w="17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4</w:t>
                  </w:r>
                </w:p>
              </w:tc>
              <w:tc>
                <w:tcPr>
                  <w:tcW w:type="dxa" w:w="3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应急备用车及故障救援</w:t>
                  </w:r>
                </w:p>
              </w:tc>
              <w:tc>
                <w:tcPr>
                  <w:tcW w:type="dxa" w:w="127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制定故障应急预案并备案；故障后市区</w:t>
                  </w:r>
                  <w:r>
                    <w:rPr>
                      <w:rFonts w:ascii="仿宋_GB2312" w:hAnsi="仿宋_GB2312" w:cs="仿宋_GB2312" w:eastAsia="仿宋_GB2312"/>
                      <w:sz w:val="18"/>
                    </w:rPr>
                    <w:t>≤30分钟、郊区≤1小时救援或更换车辆。超时每次扣2分，影响用车每次扣3分。</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7</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tc>
            </w:tr>
            <w:tr>
              <w:tc>
                <w:tcPr>
                  <w:tcW w:type="dxa" w:w="249"/>
                  <w:vMerge w:val="restart"/>
                  <w:tcBorders>
                    <w:top w:val="single" w:color="000000" w:sz="4"/>
                    <w:left w:val="single" w:color="000000" w:sz="4"/>
                    <w:bottom w:val="non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驾驶员服务（</w:t>
                  </w:r>
                  <w:r>
                    <w:rPr>
                      <w:rFonts w:ascii="仿宋_GB2312" w:hAnsi="仿宋_GB2312" w:cs="仿宋_GB2312" w:eastAsia="仿宋_GB2312"/>
                      <w:sz w:val="18"/>
                    </w:rPr>
                    <w:t>25分）</w:t>
                  </w:r>
                </w:p>
              </w:tc>
              <w:tc>
                <w:tcPr>
                  <w:tcW w:type="dxa" w:w="17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1</w:t>
                  </w:r>
                </w:p>
              </w:tc>
              <w:tc>
                <w:tcPr>
                  <w:tcW w:type="dxa" w:w="3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驾驶员资质与培训</w:t>
                  </w:r>
                </w:p>
              </w:tc>
              <w:tc>
                <w:tcPr>
                  <w:tcW w:type="dxa" w:w="127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持有效驾驶证，无重大事故记录，身体健康，品行良好，经岗前安全培训，熟悉线路。资质不符每人次扣</w:t>
                  </w:r>
                  <w:r>
                    <w:rPr>
                      <w:rFonts w:ascii="仿宋_GB2312" w:hAnsi="仿宋_GB2312" w:cs="仿宋_GB2312" w:eastAsia="仿宋_GB2312"/>
                      <w:sz w:val="18"/>
                    </w:rPr>
                    <w:t>3分。</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7</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tc>
            </w:tr>
            <w:tr>
              <w:tc>
                <w:tcPr>
                  <w:tcW w:type="dxa" w:w="249"/>
                  <w:vMerge/>
                  <w:tcBorders>
                    <w:top w:val="single" w:color="000000" w:sz="4"/>
                    <w:left w:val="single" w:color="000000" w:sz="4"/>
                    <w:bottom w:val="none" w:color="000000" w:sz="4"/>
                    <w:right w:val="single" w:color="000000" w:sz="4"/>
                  </w:tcBorders>
                </w:tcPr>
                <w:p/>
              </w:tc>
              <w:tc>
                <w:tcPr>
                  <w:tcW w:type="dxa" w:w="17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2</w:t>
                  </w:r>
                </w:p>
              </w:tc>
              <w:tc>
                <w:tcPr>
                  <w:tcW w:type="dxa" w:w="3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服务规范</w:t>
                  </w:r>
                </w:p>
              </w:tc>
              <w:tc>
                <w:tcPr>
                  <w:tcW w:type="dxa" w:w="127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着装整洁、佩戴工牌，使用文明用语，行车不接打手持电话、不吸烟、不超速，按规定站点停靠。每违反</w:t>
                  </w:r>
                  <w:r>
                    <w:rPr>
                      <w:rFonts w:ascii="仿宋_GB2312" w:hAnsi="仿宋_GB2312" w:cs="仿宋_GB2312" w:eastAsia="仿宋_GB2312"/>
                      <w:sz w:val="18"/>
                    </w:rPr>
                    <w:t>1项扣2分。</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8</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tc>
            </w:tr>
            <w:tr>
              <w:tc>
                <w:tcPr>
                  <w:tcW w:type="dxa" w:w="249"/>
                  <w:vMerge/>
                  <w:tcBorders>
                    <w:top w:val="single" w:color="000000" w:sz="4"/>
                    <w:left w:val="single" w:color="000000" w:sz="4"/>
                    <w:bottom w:val="none" w:color="000000" w:sz="4"/>
                    <w:right w:val="single" w:color="000000" w:sz="4"/>
                  </w:tcBorders>
                </w:tcPr>
                <w:p/>
              </w:tc>
              <w:tc>
                <w:tcPr>
                  <w:tcW w:type="dxa" w:w="17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3</w:t>
                  </w:r>
                </w:p>
              </w:tc>
              <w:tc>
                <w:tcPr>
                  <w:tcW w:type="dxa" w:w="3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驾驶员更换管理</w:t>
                  </w:r>
                </w:p>
              </w:tc>
              <w:tc>
                <w:tcPr>
                  <w:tcW w:type="dxa" w:w="127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不得擅自更换驾驶员；临时更换须提前告知并提供新司机信息，新司机须符合资质要求。擅自更换每次扣</w:t>
                  </w:r>
                  <w:r>
                    <w:rPr>
                      <w:rFonts w:ascii="仿宋_GB2312" w:hAnsi="仿宋_GB2312" w:cs="仿宋_GB2312" w:eastAsia="仿宋_GB2312"/>
                      <w:sz w:val="18"/>
                    </w:rPr>
                    <w:t>2分</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5</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tc>
            </w:tr>
            <w:tr>
              <w:tc>
                <w:tcPr>
                  <w:tcW w:type="dxa" w:w="249"/>
                  <w:vMerge/>
                  <w:tcBorders>
                    <w:top w:val="single" w:color="000000" w:sz="4"/>
                    <w:left w:val="single" w:color="000000" w:sz="4"/>
                    <w:bottom w:val="none" w:color="000000" w:sz="4"/>
                    <w:right w:val="single" w:color="000000" w:sz="4"/>
                  </w:tcBorders>
                </w:tcPr>
                <w:p/>
              </w:tc>
              <w:tc>
                <w:tcPr>
                  <w:tcW w:type="dxa" w:w="17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4</w:t>
                  </w:r>
                </w:p>
              </w:tc>
              <w:tc>
                <w:tcPr>
                  <w:tcW w:type="dxa" w:w="3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服从甲方管理与投诉处理</w:t>
                  </w:r>
                </w:p>
              </w:tc>
              <w:tc>
                <w:tcPr>
                  <w:tcW w:type="dxa" w:w="127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服从甲方车辆管理部门管理；对甲方合理投诉须</w:t>
                  </w:r>
                  <w:r>
                    <w:rPr>
                      <w:rFonts w:ascii="仿宋_GB2312" w:hAnsi="仿宋_GB2312" w:cs="仿宋_GB2312" w:eastAsia="仿宋_GB2312"/>
                      <w:sz w:val="18"/>
                    </w:rPr>
                    <w:t>3日内处理和整改。不服从管理每次扣2分，逾期不整改每次扣2分。</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5</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tc>
            </w:tr>
            <w:tr>
              <w:tc>
                <w:tcPr>
                  <w:tcW w:type="dxa" w:w="249"/>
                  <w:vMerge w:val="restart"/>
                  <w:tcBorders>
                    <w:top w:val="single" w:color="000000" w:sz="4"/>
                    <w:left w:val="single" w:color="000000" w:sz="4"/>
                    <w:bottom w:val="non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运营准时性（</w:t>
                  </w:r>
                  <w:r>
                    <w:rPr>
                      <w:rFonts w:ascii="仿宋_GB2312" w:hAnsi="仿宋_GB2312" w:cs="仿宋_GB2312" w:eastAsia="仿宋_GB2312"/>
                      <w:sz w:val="18"/>
                    </w:rPr>
                    <w:t>20分）</w:t>
                  </w:r>
                </w:p>
              </w:tc>
              <w:tc>
                <w:tcPr>
                  <w:tcW w:type="dxa" w:w="17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1</w:t>
                  </w:r>
                </w:p>
              </w:tc>
              <w:tc>
                <w:tcPr>
                  <w:tcW w:type="dxa" w:w="3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准时发车、到达</w:t>
                  </w:r>
                </w:p>
              </w:tc>
              <w:tc>
                <w:tcPr>
                  <w:tcW w:type="dxa" w:w="127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按约定时间、路线、站点运行，不得私自提前发车、迟到、串线、溜站、甩客。每发生一次迟到（</w:t>
                  </w:r>
                  <w:r>
                    <w:rPr>
                      <w:rFonts w:ascii="仿宋_GB2312" w:hAnsi="仿宋_GB2312" w:cs="仿宋_GB2312" w:eastAsia="仿宋_GB2312"/>
                      <w:sz w:val="18"/>
                    </w:rPr>
                    <w:t>≤30分钟）扣2分。</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10</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tc>
            </w:tr>
            <w:tr>
              <w:tc>
                <w:tcPr>
                  <w:tcW w:type="dxa" w:w="249"/>
                  <w:vMerge/>
                  <w:tcBorders>
                    <w:top w:val="single" w:color="000000" w:sz="4"/>
                    <w:left w:val="single" w:color="000000" w:sz="4"/>
                    <w:bottom w:val="none" w:color="000000" w:sz="4"/>
                    <w:right w:val="single" w:color="000000" w:sz="4"/>
                  </w:tcBorders>
                </w:tcPr>
                <w:p/>
              </w:tc>
              <w:tc>
                <w:tcPr>
                  <w:tcW w:type="dxa" w:w="17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2</w:t>
                  </w:r>
                </w:p>
              </w:tc>
              <w:tc>
                <w:tcPr>
                  <w:tcW w:type="dxa" w:w="3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延误处理</w:t>
                  </w:r>
                </w:p>
              </w:tc>
              <w:tc>
                <w:tcPr>
                  <w:tcW w:type="dxa" w:w="127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延误超过</w:t>
                  </w:r>
                  <w:r>
                    <w:rPr>
                      <w:rFonts w:ascii="仿宋_GB2312" w:hAnsi="仿宋_GB2312" w:cs="仿宋_GB2312" w:eastAsia="仿宋_GB2312"/>
                      <w:sz w:val="18"/>
                    </w:rPr>
                    <w:t>30分钟每次扣4分；因延误导致教学、科研活动受影响或造成实际损失的，该项不得分（扣10分）。</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10</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tc>
            </w:tr>
            <w:tr>
              <w:tc>
                <w:tcPr>
                  <w:tcW w:type="dxa" w:w="249"/>
                  <w:vMerge w:val="restart"/>
                  <w:tcBorders>
                    <w:top w:val="single" w:color="000000" w:sz="4"/>
                    <w:left w:val="single" w:color="000000" w:sz="4"/>
                    <w:bottom w:val="non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安全管理（</w:t>
                  </w:r>
                  <w:r>
                    <w:rPr>
                      <w:rFonts w:ascii="仿宋_GB2312" w:hAnsi="仿宋_GB2312" w:cs="仿宋_GB2312" w:eastAsia="仿宋_GB2312"/>
                      <w:sz w:val="18"/>
                    </w:rPr>
                    <w:t>15分）</w:t>
                  </w:r>
                </w:p>
              </w:tc>
              <w:tc>
                <w:tcPr>
                  <w:tcW w:type="dxa" w:w="17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1</w:t>
                  </w:r>
                </w:p>
              </w:tc>
              <w:tc>
                <w:tcPr>
                  <w:tcW w:type="dxa" w:w="3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安全驾驶记录</w:t>
                  </w:r>
                </w:p>
              </w:tc>
              <w:tc>
                <w:tcPr>
                  <w:tcW w:type="dxa" w:w="127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无超速、疲劳驾驶等违规行为；无重大交通事故记录。每发生一次一般违规（如超速）扣</w:t>
                  </w:r>
                  <w:r>
                    <w:rPr>
                      <w:rFonts w:ascii="仿宋_GB2312" w:hAnsi="仿宋_GB2312" w:cs="仿宋_GB2312" w:eastAsia="仿宋_GB2312"/>
                      <w:sz w:val="18"/>
                    </w:rPr>
                    <w:t>2分，发生负主责的交通事故扣5分。</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8</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tc>
            </w:tr>
            <w:tr>
              <w:tc>
                <w:tcPr>
                  <w:tcW w:type="dxa" w:w="249"/>
                  <w:vMerge/>
                  <w:tcBorders>
                    <w:top w:val="single" w:color="000000" w:sz="4"/>
                    <w:left w:val="single" w:color="000000" w:sz="4"/>
                    <w:bottom w:val="none" w:color="000000" w:sz="4"/>
                    <w:right w:val="single" w:color="000000" w:sz="4"/>
                  </w:tcBorders>
                </w:tcPr>
                <w:p/>
              </w:tc>
              <w:tc>
                <w:tcPr>
                  <w:tcW w:type="dxa" w:w="17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2</w:t>
                  </w:r>
                </w:p>
              </w:tc>
              <w:tc>
                <w:tcPr>
                  <w:tcW w:type="dxa" w:w="3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事故处理与责任</w:t>
                  </w:r>
                </w:p>
              </w:tc>
              <w:tc>
                <w:tcPr>
                  <w:tcW w:type="dxa" w:w="127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发生事故乙方自行处理；造成甲方人员人身或财产损失乙方承担全部责任（不可抗力除外）。未及时妥善处理每次扣</w:t>
                  </w:r>
                  <w:r>
                    <w:rPr>
                      <w:rFonts w:ascii="仿宋_GB2312" w:hAnsi="仿宋_GB2312" w:cs="仿宋_GB2312" w:eastAsia="仿宋_GB2312"/>
                      <w:sz w:val="18"/>
                    </w:rPr>
                    <w:t>3分。</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7</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tc>
            </w:tr>
            <w:tr>
              <w:tc>
                <w:tcPr>
                  <w:tcW w:type="dxa" w:w="249"/>
                  <w:vMerge w:val="restart"/>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台账与记录（</w:t>
                  </w:r>
                  <w:r>
                    <w:rPr>
                      <w:rFonts w:ascii="仿宋_GB2312" w:hAnsi="仿宋_GB2312" w:cs="仿宋_GB2312" w:eastAsia="仿宋_GB2312"/>
                      <w:sz w:val="18"/>
                    </w:rPr>
                    <w:t>10分）</w:t>
                  </w:r>
                </w:p>
                <w:p>
                  <w:pPr>
                    <w:pStyle w:val="null3"/>
                    <w:jc w:val="both"/>
                  </w:pPr>
                </w:p>
              </w:tc>
              <w:tc>
                <w:tcPr>
                  <w:tcW w:type="dxa" w:w="17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1</w:t>
                  </w:r>
                </w:p>
              </w:tc>
              <w:tc>
                <w:tcPr>
                  <w:tcW w:type="dxa" w:w="3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用车明细记录</w:t>
                  </w:r>
                </w:p>
              </w:tc>
              <w:tc>
                <w:tcPr>
                  <w:tcW w:type="dxa" w:w="127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每次运行后提供用车明细单，经甲方确认，记录真实完整。缺漏一次扣</w:t>
                  </w:r>
                  <w:r>
                    <w:rPr>
                      <w:rFonts w:ascii="仿宋_GB2312" w:hAnsi="仿宋_GB2312" w:cs="仿宋_GB2312" w:eastAsia="仿宋_GB2312"/>
                      <w:sz w:val="18"/>
                    </w:rPr>
                    <w:t>1分。</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5</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tc>
            </w:tr>
            <w:tr>
              <w:tc>
                <w:tcPr>
                  <w:tcW w:type="dxa" w:w="249"/>
                  <w:vMerge/>
                  <w:tcBorders>
                    <w:top w:val="none" w:color="000000" w:sz="4"/>
                    <w:left w:val="single" w:color="000000" w:sz="4"/>
                    <w:bottom w:val="single" w:color="000000" w:sz="4"/>
                    <w:right w:val="single" w:color="000000" w:sz="4"/>
                  </w:tcBorders>
                </w:tcPr>
                <w:p/>
              </w:tc>
              <w:tc>
                <w:tcPr>
                  <w:tcW w:type="dxa" w:w="17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2</w:t>
                  </w:r>
                </w:p>
              </w:tc>
              <w:tc>
                <w:tcPr>
                  <w:tcW w:type="dxa" w:w="3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维修、年检提前通知</w:t>
                  </w:r>
                </w:p>
              </w:tc>
              <w:tc>
                <w:tcPr>
                  <w:tcW w:type="dxa" w:w="127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车辆因年检、维修停驶提前</w:t>
                  </w:r>
                  <w:r>
                    <w:rPr>
                      <w:rFonts w:ascii="仿宋_GB2312" w:hAnsi="仿宋_GB2312" w:cs="仿宋_GB2312" w:eastAsia="仿宋_GB2312"/>
                      <w:sz w:val="18"/>
                    </w:rPr>
                    <w:t>3个工作日书面通知甲方并安排合格替换车。未提前通知每次扣2分。</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5</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tc>
            </w:tr>
            <w:tr>
              <w:tc>
                <w:tcPr>
                  <w:tcW w:type="dxa" w:w="24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投诉与满意度</w:t>
                  </w:r>
                </w:p>
                <w:p>
                  <w:pPr>
                    <w:pStyle w:val="null3"/>
                    <w:jc w:val="center"/>
                  </w:pPr>
                  <w:r>
                    <w:rPr>
                      <w:rFonts w:ascii="仿宋_GB2312" w:hAnsi="仿宋_GB2312" w:cs="仿宋_GB2312" w:eastAsia="仿宋_GB2312"/>
                      <w:sz w:val="18"/>
                    </w:rPr>
                    <w:t>（</w:t>
                  </w:r>
                  <w:r>
                    <w:rPr>
                      <w:rFonts w:ascii="仿宋_GB2312" w:hAnsi="仿宋_GB2312" w:cs="仿宋_GB2312" w:eastAsia="仿宋_GB2312"/>
                      <w:sz w:val="18"/>
                    </w:rPr>
                    <w:t>5分）</w:t>
                  </w:r>
                </w:p>
              </w:tc>
              <w:tc>
                <w:tcPr>
                  <w:tcW w:type="dxa" w:w="17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1</w:t>
                  </w:r>
                </w:p>
              </w:tc>
              <w:tc>
                <w:tcPr>
                  <w:tcW w:type="dxa" w:w="305"/>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师生投诉情况</w:t>
                  </w:r>
                </w:p>
              </w:tc>
              <w:tc>
                <w:tcPr>
                  <w:tcW w:type="dxa" w:w="127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每收到一次有效投诉（经核实确属乙方责任）扣</w:t>
                  </w:r>
                  <w:r>
                    <w:rPr>
                      <w:rFonts w:ascii="仿宋_GB2312" w:hAnsi="仿宋_GB2312" w:cs="仿宋_GB2312" w:eastAsia="仿宋_GB2312"/>
                      <w:sz w:val="18"/>
                    </w:rPr>
                    <w:t>1分，扣完为止。</w:t>
                  </w: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tc>
              <w:tc>
                <w:tcPr>
                  <w:tcW w:type="dxa" w:w="180"/>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tc>
            </w:tr>
            <w:tr>
              <w:tc>
                <w:tcPr>
                  <w:tcW w:type="dxa" w:w="24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总分</w:t>
                  </w:r>
                </w:p>
              </w:tc>
              <w:tc>
                <w:tcPr>
                  <w:tcW w:type="dxa" w:w="1749"/>
                  <w:gridSpan w:val="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100</w:t>
                  </w:r>
                </w:p>
              </w:tc>
              <w:tc>
                <w:tcPr>
                  <w:tcW w:type="dxa" w:w="540"/>
                  <w:gridSpan w:val="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备注</w:t>
                  </w:r>
                </w:p>
              </w:tc>
              <w:tc>
                <w:tcPr>
                  <w:tcW w:type="dxa" w:w="2289"/>
                  <w:gridSpan w:val="6"/>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95-100分：全额支付当期应结算服务费；</w:t>
                  </w:r>
                </w:p>
                <w:p>
                  <w:pPr>
                    <w:pStyle w:val="null3"/>
                    <w:jc w:val="center"/>
                  </w:pPr>
                  <w:r>
                    <w:rPr>
                      <w:rFonts w:ascii="仿宋_GB2312" w:hAnsi="仿宋_GB2312" w:cs="仿宋_GB2312" w:eastAsia="仿宋_GB2312"/>
                      <w:sz w:val="18"/>
                    </w:rPr>
                    <w:t>90-95分：扣除当期应结算服务费的2%；</w:t>
                  </w:r>
                </w:p>
                <w:p>
                  <w:pPr>
                    <w:pStyle w:val="null3"/>
                    <w:jc w:val="center"/>
                  </w:pPr>
                  <w:r>
                    <w:rPr>
                      <w:rFonts w:ascii="仿宋_GB2312" w:hAnsi="仿宋_GB2312" w:cs="仿宋_GB2312" w:eastAsia="仿宋_GB2312"/>
                      <w:sz w:val="18"/>
                    </w:rPr>
                    <w:t>85-90分：扣除当期应结算服务费的3%；</w:t>
                  </w:r>
                </w:p>
                <w:p>
                  <w:pPr>
                    <w:pStyle w:val="null3"/>
                    <w:jc w:val="center"/>
                  </w:pPr>
                  <w:r>
                    <w:rPr>
                      <w:rFonts w:ascii="仿宋_GB2312" w:hAnsi="仿宋_GB2312" w:cs="仿宋_GB2312" w:eastAsia="仿宋_GB2312"/>
                      <w:sz w:val="18"/>
                    </w:rPr>
                    <w:t>85分以下：扣除当期应结算服务费的5%。</w:t>
                  </w:r>
                </w:p>
              </w:tc>
            </w:tr>
            <w:tr>
              <w:tc>
                <w:tcPr>
                  <w:tcW w:type="dxa" w:w="24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突出问题</w:t>
                  </w:r>
                </w:p>
              </w:tc>
              <w:tc>
                <w:tcPr>
                  <w:tcW w:type="dxa" w:w="2289"/>
                  <w:gridSpan w:val="6"/>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整改建议</w:t>
                  </w:r>
                </w:p>
              </w:tc>
              <w:tc>
                <w:tcPr>
                  <w:tcW w:type="dxa" w:w="2289"/>
                  <w:gridSpan w:val="6"/>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rPr>
                    <w:t>通勤车辆公司</w:t>
                  </w:r>
                </w:p>
                <w:p>
                  <w:pPr>
                    <w:pStyle w:val="null3"/>
                    <w:jc w:val="center"/>
                  </w:pPr>
                  <w:r>
                    <w:rPr>
                      <w:rFonts w:ascii="仿宋_GB2312" w:hAnsi="仿宋_GB2312" w:cs="仿宋_GB2312" w:eastAsia="仿宋_GB2312"/>
                      <w:sz w:val="18"/>
                    </w:rPr>
                    <w:t>负责人确认签字</w:t>
                  </w:r>
                </w:p>
              </w:tc>
              <w:tc>
                <w:tcPr>
                  <w:tcW w:type="dxa" w:w="2289"/>
                  <w:gridSpan w:val="6"/>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按项目需求配置，根据竞争性磋商文件要求、响应文件承诺及合同约定执行。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按项目需求配置，根据竞争性磋商文件要求、响应文件承诺及合同约定执行。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服务期限为一年。服务期满后，甲方将依据对乙方的服务质量考核结果及双方实际合作情况综合评估决定是否续签（最多续签一年），具体以届时另行签署的书面协议为准。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西安美术学院指定的地点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通勤班车费用每6个月结算一次，当月考核不合格不予全额支付当月服务费，根据考核要求计算支付服务费实际金额；乙方提供用车明细及等额发票，甲方收到后10个工作日内支付；临时用车费用每月结算一次，乙方提供明细及发票，甲方确认后支付。（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1、乙方提供的服务不符合本合同规定的，甲方有权拒收，并且乙方须向甲方方支付本合同总价5%的违约金。 2、乙方未能按本合同规定的交货时间提供服务，从逾期之日起每日按本合同总价3‰的数额向甲方支付违约金；逾期半个月以上的，甲方有权终止合同，由此造成的甲方经济损失由乙方承担。 3、甲方无正当理由拒收接受服务，到期拒付服务款项的，甲方向乙方偿付本合同总的5%的违约金。甲方逾期付款，则每日按本合同总价的3%向乙方偿付违约金。 4、其它违约责任按《中华人民共和国民法典》处理。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响应文件，同时，线下提交纸质响应文件正本壹份、副本贰份。纸质响应文件正、副本分别胶装，标明供应商名称密封递交，递交截止时间同在线递交电子响应文件截止时间一致，递交地址：陕西省西安市曲江新区雁翔路3269号旺座曲江D座30层（纸质响应文件可邮寄，邮件寄出时间应在递交电子响应文件截止时间之前，邮寄地址：陕西省西安市曲江新区雁翔路 3269号旺座曲江D座30层，联系人：王工，联系电话：15091632950）。若电子响应文件与纸质响应文件不一致的，以电子响应文件为准。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响应文件递交截止时间不足一年的可提供成立后任意时段的资产负债表）或响应文件递交截止时间前六个月内银行出具的资信证明；其他组织和自然人提供银行出具的资信证明或财务报表；根据《财政部关于注册会计师行业统一监管平台上线运行的通知》财办〔2022〕32号文件要求，审计报告须有清晰可扫描查询的二维码，若审计报告未赋码视为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提供合格的法定代表人授权书（附法定代表人、被授权人身份证复印件）或法定代表人身份证明（法定代表人直接参加的）。</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道路运输经营许可证</w:t>
            </w:r>
          </w:p>
        </w:tc>
        <w:tc>
          <w:tcPr>
            <w:tcW w:type="dxa" w:w="3322"/>
          </w:tcPr>
          <w:p>
            <w:pPr>
              <w:pStyle w:val="null3"/>
            </w:pPr>
            <w:r>
              <w:rPr>
                <w:rFonts w:ascii="仿宋_GB2312" w:hAnsi="仿宋_GB2312" w:cs="仿宋_GB2312" w:eastAsia="仿宋_GB2312"/>
              </w:rPr>
              <w:t>供应商应具备并提供交通管理部门核发有效的《道路运输经营许可证》。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单位负责人为同一人或者存在直接控股、管理关系的不同供应商，不得同时参与本采购项目响应（提供直接控股和管理关系清单）。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为本项目提供整体设计、规范编制或者项目管理、监理、检测等服务的供应商，不得再参与本项目响应（提供承诺）。</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书面说明应当按照国家财务会计制度的规定要求，逐项就供应商提供服务的主营业务成本、税金及附加、销售费用、管理费用、财务费用等成本构成）及必要的证明材料（类似项目类似报价合同、验收报告、发票等）。 其中，属于第③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供应商名称与营业执照一致（合格）供应商名称与营业执照不一致（不合格）</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响应文件按采购文件要求的数量、计量单位、报价货币及签字盖章</w:t>
            </w:r>
          </w:p>
        </w:tc>
        <w:tc>
          <w:tcPr>
            <w:tcW w:type="dxa" w:w="3322"/>
          </w:tcPr>
          <w:p>
            <w:pPr>
              <w:pStyle w:val="null3"/>
            </w:pPr>
            <w:r>
              <w:rPr>
                <w:rFonts w:ascii="仿宋_GB2312" w:hAnsi="仿宋_GB2312" w:cs="仿宋_GB2312" w:eastAsia="仿宋_GB2312"/>
              </w:rPr>
              <w:t>响应文件按采购文件要求的数量、计量单位、报价货币及签字盖章（合格）响应文件未按采购文件要求的数量、计量单位、报价货币及签字盖章（不合格）</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响应有效期达到采购文件要求</w:t>
            </w:r>
          </w:p>
        </w:tc>
        <w:tc>
          <w:tcPr>
            <w:tcW w:type="dxa" w:w="3322"/>
          </w:tcPr>
          <w:p>
            <w:pPr>
              <w:pStyle w:val="null3"/>
            </w:pPr>
            <w:r>
              <w:rPr>
                <w:rFonts w:ascii="仿宋_GB2312" w:hAnsi="仿宋_GB2312" w:cs="仿宋_GB2312" w:eastAsia="仿宋_GB2312"/>
              </w:rPr>
              <w:t>响应有效期达到采购文件要求（合格）响应有效期未达到采购文件要求（不合格）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商务响应满足实质性要求</w:t>
            </w:r>
          </w:p>
        </w:tc>
        <w:tc>
          <w:tcPr>
            <w:tcW w:type="dxa" w:w="3322"/>
          </w:tcPr>
          <w:p>
            <w:pPr>
              <w:pStyle w:val="null3"/>
            </w:pPr>
            <w:r>
              <w:rPr>
                <w:rFonts w:ascii="仿宋_GB2312" w:hAnsi="仿宋_GB2312" w:cs="仿宋_GB2312" w:eastAsia="仿宋_GB2312"/>
              </w:rPr>
              <w:t>商务响应满足第三章3.3商务要求（合格），任意一条不满足（不合格）。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符合法律、法规和采购文件中规定的其他实质性要求（合格）不符合法律、法规和采购文件中规定的其他实质性要求（不合格）</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供应商服务响应完全满足磋商文件第三章第3.2.2条“服务要求”所列内容（13项），没有负偏离的得13分，每有一项负偏离扣1分，扣完为止。</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服务实施方案</w:t>
            </w:r>
          </w:p>
        </w:tc>
        <w:tc>
          <w:tcPr>
            <w:tcW w:type="dxa" w:w="2492"/>
          </w:tcPr>
          <w:p>
            <w:pPr>
              <w:pStyle w:val="null3"/>
            </w:pPr>
            <w:r>
              <w:rPr>
                <w:rFonts w:ascii="仿宋_GB2312" w:hAnsi="仿宋_GB2312" w:cs="仿宋_GB2312" w:eastAsia="仿宋_GB2312"/>
              </w:rPr>
              <w:t>一、评审内容 针对本项目详细列明服务实施方案，内容包括①服务主要内容②服务质量保证实施方案③安全保障实施方案④“三检”(出车前、行驶中、收车后)制度。 二、评审标准 1、完整性:方案须全面，对评审内容中的各项要求有详细描述； 2、可实施性:切合本项目实际情况，实施步骤清晰、合理； 3、针对性方案能够紧扣项目实际情况，内容科学合理。 三、赋分标准 ①服务主要内容:每完全满足一个评审标准得1分；基本满足得0.5分；不能满足的不得分；满分3分。 ②服务质量保证实施方案:每完全满足一个评审标准得1分；基本满足得0.5分；不能满足的不得分；满分3分。 ③安全保障实施方案:每完全满足一个评审标准得1分；基本满足得0.5分；不能满足的不得分；满分3分。 ④“三检”(出车前、行驶中、收车后)制度：每完全满足一个评审标准得1分；基本满足得0.5分；不能满足的不得分；满分3分。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服务实施方案.docx</w:t>
            </w:r>
          </w:p>
        </w:tc>
      </w:tr>
      <w:tr>
        <w:tc>
          <w:tcPr>
            <w:tcW w:type="dxa" w:w="831"/>
            <w:vMerge/>
          </w:tcPr>
          <w:p/>
        </w:tc>
        <w:tc>
          <w:tcPr>
            <w:tcW w:type="dxa" w:w="1661"/>
          </w:tcPr>
          <w:p>
            <w:pPr>
              <w:pStyle w:val="null3"/>
            </w:pPr>
            <w:r>
              <w:rPr>
                <w:rFonts w:ascii="仿宋_GB2312" w:hAnsi="仿宋_GB2312" w:cs="仿宋_GB2312" w:eastAsia="仿宋_GB2312"/>
              </w:rPr>
              <w:t>安全经营制度和管理措施方案</w:t>
            </w:r>
          </w:p>
        </w:tc>
        <w:tc>
          <w:tcPr>
            <w:tcW w:type="dxa" w:w="2492"/>
          </w:tcPr>
          <w:p>
            <w:pPr>
              <w:pStyle w:val="null3"/>
            </w:pPr>
            <w:r>
              <w:rPr>
                <w:rFonts w:ascii="仿宋_GB2312" w:hAnsi="仿宋_GB2312" w:cs="仿宋_GB2312" w:eastAsia="仿宋_GB2312"/>
              </w:rPr>
              <w:t>一、评审内容 针对本项目详细列明安全经营制度和管理措施方案，内容包括①车辆安全配置、车辆定期检查与隐患治理②车辆维护、保养③人员安全礼仪培训。 二、评审标准 1、完整性:方案须全面，对评审内容中的各项要求有详细描述; 2、可实施性:切合本项目实际情况，实施步骤清晰、合理； 3、针对性:方案能够紧扣项目实际情况，内容科学合理。 三、赋分标准 ①车辆安全配置、车辆定期检查与隐患治理:每完全满足一个评审标准得1分；基本满足得0.5分；不能满足的不得分；满分3分。 ②车辆维护、保养:每完全满足一个评审标准得1分；基本满足得0.5分；不能满足的不得分满分3。 ③人员安全礼仪培训:每完全满足一个评审标准得1分；基本满足得0.5分；不能满足的不得分；满分3分。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安全经营制度和管理措施方案.docx</w:t>
            </w:r>
          </w:p>
        </w:tc>
      </w:tr>
      <w:tr>
        <w:tc>
          <w:tcPr>
            <w:tcW w:type="dxa" w:w="831"/>
            <w:vMerge/>
          </w:tcPr>
          <w:p/>
        </w:tc>
        <w:tc>
          <w:tcPr>
            <w:tcW w:type="dxa" w:w="1661"/>
          </w:tcPr>
          <w:p>
            <w:pPr>
              <w:pStyle w:val="null3"/>
            </w:pPr>
            <w:r>
              <w:rPr>
                <w:rFonts w:ascii="仿宋_GB2312" w:hAnsi="仿宋_GB2312" w:cs="仿宋_GB2312" w:eastAsia="仿宋_GB2312"/>
              </w:rPr>
              <w:t>应急预案方案</w:t>
            </w:r>
          </w:p>
        </w:tc>
        <w:tc>
          <w:tcPr>
            <w:tcW w:type="dxa" w:w="2492"/>
          </w:tcPr>
          <w:p>
            <w:pPr>
              <w:pStyle w:val="null3"/>
            </w:pPr>
            <w:r>
              <w:rPr>
                <w:rFonts w:ascii="仿宋_GB2312" w:hAnsi="仿宋_GB2312" w:cs="仿宋_GB2312" w:eastAsia="仿宋_GB2312"/>
              </w:rPr>
              <w:t>一、评审内容 针对本项目详细列明应急预案方案，内容包括①恶劣天气应急方案及处置办法②突发事件(包括但不限于堵车、交通事故、中暑、突发公共卫生事件、打架斗殴、寻衅滋事等)应急方案及处置办法 。 二、评审标准 1、完整性:方案须全面，对评审内容中的各项要求有详细描述； 2、可实施性:切合本项目实际情况，实施步骤清晰、合理； 3、针对性:方案能够紧扣项目实际情况，内容科学合理。 三、赋分标准 ①恶劣天气应急方案及处置办法:每完全满足一个评审标准得1分；基本满足得0.5分；不能满足的不得分；满分3分。 ②突发事件(包括但不限于堵车、交通事故、中暑、突发公共卫生事件、打架斗殴、寻衅滋事等)应急方案及处置办法:每完全满足一个评审标准得1分；基本满足得0.5分；不能满足的不得分；满分3分。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应急预案方案.docx</w:t>
            </w:r>
          </w:p>
        </w:tc>
      </w:tr>
      <w:tr>
        <w:tc>
          <w:tcPr>
            <w:tcW w:type="dxa" w:w="831"/>
            <w:vMerge/>
          </w:tcPr>
          <w:p/>
        </w:tc>
        <w:tc>
          <w:tcPr>
            <w:tcW w:type="dxa" w:w="1661"/>
          </w:tcPr>
          <w:p>
            <w:pPr>
              <w:pStyle w:val="null3"/>
            </w:pPr>
            <w:r>
              <w:rPr>
                <w:rFonts w:ascii="仿宋_GB2312" w:hAnsi="仿宋_GB2312" w:cs="仿宋_GB2312" w:eastAsia="仿宋_GB2312"/>
              </w:rPr>
              <w:t>车辆配套设施</w:t>
            </w:r>
          </w:p>
        </w:tc>
        <w:tc>
          <w:tcPr>
            <w:tcW w:type="dxa" w:w="2492"/>
          </w:tcPr>
          <w:p>
            <w:pPr>
              <w:pStyle w:val="null3"/>
            </w:pPr>
            <w:r>
              <w:rPr>
                <w:rFonts w:ascii="仿宋_GB2312" w:hAnsi="仿宋_GB2312" w:cs="仿宋_GB2312" w:eastAsia="仿宋_GB2312"/>
              </w:rPr>
              <w:t>一、评审内容 针对本项目详细列明车辆配套设施，内容包括①提供的车辆数量（保障大型活动等临时性大规模用车）、型号及车辆保险相关资料②防火设施（配备灭火器及警示性标志牌）、车况、车内监控、GPS配置等③车辆管理制度。 二、评审标准 1、完整性：方案须全面，对评审内容中的各项要求有详细描述； 2、可实施性：切合本项目实际情况，实施步骤清晰、合理； 3、针对性：方案能够紧扣项目实际情况，内容科学合理。 三、赋分标准 ①提供的车辆数量（保障大型活动等临时性大规模用车）、型号及车辆保险相关资料：每完全满足一个评审标准得1分；基本满足得0.5分；不能满足的不得分；满分3分。 ②防火设施（配备灭火器及警示性标志牌）、车况、车内监控、GPS配置等：每完全满足一个评审标准得1分；基本满足得0.5分；不能满足的不得分；满分3分。 ③车辆管理制度：每完全满足一个评审标准得1分；基本满足得0.5分；不能满足的不得分；满分3分。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车辆配套设施.docx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一、评审内容 针对本项目详细列明团队人员配备情况，内容包括①管理人员、车辆驾驶员、应急处置人员配备清单及岗位分工②人员执业资格、社保缴纳情况、年龄、学历等③人员管理制度。 二、评审标准 1、完整性：方案须全面，对评审内容中的各项要求有详细描述； 2、可实施性：切合本项目实际情况，实施步骤清晰、合理； 3、针对性：方案能够紧扣项目实际情况，内容科学合理。 三、赋分标准 ①管理人员、车辆驾驶员、应急处置人员配备清单及岗位分工：每完全满足一个评审标准得1分；基本满足得0.5分；不能满足的不得分；满分3分。 ②人员执业资格、社保缴纳情况、年龄、学历等：每完全满足一个评审标准得1分；基本满足得0.5分；不能满足的不得分；满分3分。 ③人员管理制度：每完全满足一个评审标准得1分；基本满足得0.5分；不能满足的不得分；满分3分。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团队人员配置.docx</w:t>
            </w:r>
          </w:p>
        </w:tc>
      </w:tr>
      <w:tr>
        <w:tc>
          <w:tcPr>
            <w:tcW w:type="dxa" w:w="831"/>
            <w:vMerge/>
          </w:tcPr>
          <w:p/>
        </w:tc>
        <w:tc>
          <w:tcPr>
            <w:tcW w:type="dxa" w:w="1661"/>
          </w:tcPr>
          <w:p>
            <w:pPr>
              <w:pStyle w:val="null3"/>
            </w:pPr>
            <w:r>
              <w:rPr>
                <w:rFonts w:ascii="仿宋_GB2312" w:hAnsi="仿宋_GB2312" w:cs="仿宋_GB2312" w:eastAsia="仿宋_GB2312"/>
              </w:rPr>
              <w:t>备用车辆及备用驾驶员配置</w:t>
            </w:r>
          </w:p>
        </w:tc>
        <w:tc>
          <w:tcPr>
            <w:tcW w:type="dxa" w:w="2492"/>
          </w:tcPr>
          <w:p>
            <w:pPr>
              <w:pStyle w:val="null3"/>
            </w:pPr>
            <w:r>
              <w:rPr>
                <w:rFonts w:ascii="仿宋_GB2312" w:hAnsi="仿宋_GB2312" w:cs="仿宋_GB2312" w:eastAsia="仿宋_GB2312"/>
              </w:rPr>
              <w:t>一、评审内容 针对本项目详细列明备用车辆及备用驾驶员配置，内容包括①免费提供备用车辆情况②免费提供备用驾驶员情况 二、评审标准 1、完整性：方案须全面，对评审内容中的各项要求有详细描述； 2、可实施性：切合本项目实际情况，实施步骤清晰、合理； 3、针对性：方案能够紧扣项目实际情况，内容科学合理。 三、赋分标准 ①免费提供备用车辆情况：每完全满足一个评审标准得1分；基本满足得0.5分；不能满足的不得分；满分3分。 ②免费提供备用驾驶员情况：每完全满足一个评审标准得1分；基本满足得0.5分；不能满足的不得分；满分3分。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备用车辆及备用驾驶员配置.docx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供应商提供2023年4月1日至今同类项目业绩（以合同签订日期为准），每提供1份得1.5分，最高得6分。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详见附件：备用车辆及备用驾驶员配置.docx</w:t>
      </w:r>
    </w:p>
    <w:p>
      <w:pPr>
        <w:pStyle w:val="null3"/>
        <w:ind w:firstLine="960"/>
      </w:pPr>
      <w:r>
        <w:rPr>
          <w:rFonts w:ascii="仿宋_GB2312" w:hAnsi="仿宋_GB2312" w:cs="仿宋_GB2312" w:eastAsia="仿宋_GB2312"/>
        </w:rPr>
        <w:t>详见附件：车辆配套设施.docx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详见附件：服务实施方案.docx</w:t>
      </w:r>
    </w:p>
    <w:p>
      <w:pPr>
        <w:pStyle w:val="null3"/>
        <w:ind w:firstLine="960"/>
      </w:pPr>
      <w:r>
        <w:rPr>
          <w:rFonts w:ascii="仿宋_GB2312" w:hAnsi="仿宋_GB2312" w:cs="仿宋_GB2312" w:eastAsia="仿宋_GB2312"/>
        </w:rPr>
        <w:t>详见附件：团队人员配置.docx</w:t>
      </w:r>
    </w:p>
    <w:p>
      <w:pPr>
        <w:pStyle w:val="null3"/>
        <w:ind w:firstLine="960"/>
      </w:pPr>
      <w:r>
        <w:rPr>
          <w:rFonts w:ascii="仿宋_GB2312" w:hAnsi="仿宋_GB2312" w:cs="仿宋_GB2312" w:eastAsia="仿宋_GB2312"/>
        </w:rPr>
        <w:t>详见附件：应急预案方案.docx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详见附件：安全经营制度和管理措施方案.docx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