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版本号：ZX2026-05-5820260613001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CO₂微观相互作用与运移演化可视化系统采购项目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ZX2026-05-58</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CO₂微观相互作用与运移演化可视化系统采购项目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CO₂微观相互作用与运移演化可视化系统采购项目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CO₂微观相互作用与运移演化可视化系统，可实现不同流体（CO₂、氮气、泡沫、酸液等）注入过程与地层流体（水、油等）、岩石微观作用及运移可视化监测，并满足外加电场条件下的耦合过程监测。通过研究不同流体注入与储层流体、岩石耦合作用过程，分析流体运移、岩石性质等演化机制，可以增强非常规储层开发过程中的微观认识，为有效提高非常规油气的开采效率，增加油气产量奠定基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采购包1保证金金额：10,558.00元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验收合格后凭验收单和缴款收据，合同履约保证金予以无息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代理服务费收费标准：参见国家计委颁布的《招标代理服务收费管理暂行办法》（计价格[2002]1980号）和（发改办价格[2011]534号）货物类收费标准的90%，按照成交金额差额定率累进法计算。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按照谈判文件、成交供应商响应文件和合同文本约定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CO₂微观相互作用与运移演化可视化系统，可实现不同流体（CO₂、氮气、泡沫、酸液等）注入过程与地层流体（水、油等）、岩石微观作用及运移可视化监测，并满足外加电场条件下的耦合过程监测。通过研究不同流体注入与储层流体、岩石耦合作用过程，分析流体运移、岩石性质等演化机制，可以增强非常规储层开发过程中的微观认识，为有效提高非常规油气的开采效率，增加油气产量奠定基础。</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CO₂微观相互作用与运移演化可视化系统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标的名称：CO₂微观相互作用与运移演化可视化系统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本项目采购CO₂微观相互作用与运移演化可视化系统1套。</w:t>
            </w:r>
          </w:p>
          <w:p>
            <w:pPr>
              <w:pStyle w:val="null3"/>
              <w:jc w:val="both"/>
            </w:pPr>
            <w:r>
              <w:rPr>
                <w:rFonts w:ascii="仿宋_GB2312" w:hAnsi="仿宋_GB2312" w:cs="仿宋_GB2312" w:eastAsia="仿宋_GB2312"/>
              </w:rPr>
              <w:t>一、实验系统总体要求</w:t>
            </w:r>
          </w:p>
          <w:p>
            <w:pPr>
              <w:pStyle w:val="null3"/>
            </w:pPr>
            <w:r>
              <w:rPr>
                <w:rFonts w:ascii="仿宋_GB2312" w:hAnsi="仿宋_GB2312" w:cs="仿宋_GB2312" w:eastAsia="仿宋_GB2312"/>
              </w:rPr>
              <w:t>系统可实现不同流体（CO₂、氮气、泡沫、酸液等）注入过程与地层流体（水、油等）、岩石微观作用及运移可视化监测，并满足外加电场条件下的耦合过程监测。主要模块包括：高温高压可视釜1个、可实现原位CT监测的多功能装置1套、高精度流体注入系统1套、真空系统1套、环压控制系统1套、显微成像观察系统1套、应变监测系统1套、温控系统1套、高压循环泵1个、可视化监测数据采集及处理系统1套等。</w:t>
            </w:r>
          </w:p>
          <w:p>
            <w:pPr>
              <w:pStyle w:val="null3"/>
            </w:pPr>
            <w:r>
              <w:rPr>
                <w:rFonts w:ascii="仿宋_GB2312" w:hAnsi="仿宋_GB2312" w:cs="仿宋_GB2312" w:eastAsia="仿宋_GB2312"/>
              </w:rPr>
              <w:t>二、核心部件</w:t>
            </w:r>
          </w:p>
          <w:p>
            <w:pPr>
              <w:pStyle w:val="null3"/>
            </w:pPr>
            <w:r>
              <w:rPr>
                <w:rFonts w:ascii="仿宋_GB2312" w:hAnsi="仿宋_GB2312" w:cs="仿宋_GB2312" w:eastAsia="仿宋_GB2312"/>
              </w:rPr>
              <w:t>1.高温高压可视釜</w:t>
            </w:r>
          </w:p>
          <w:p>
            <w:pPr>
              <w:pStyle w:val="null3"/>
            </w:pPr>
            <w:r>
              <w:rPr>
                <w:rFonts w:ascii="仿宋_GB2312" w:hAnsi="仿宋_GB2312" w:cs="仿宋_GB2312" w:eastAsia="仿宋_GB2312"/>
              </w:rPr>
              <w:t>（1）釜体材料采用不低于316L不锈钢的材质，耐腐蚀，工作压力0～70MPa，工作温度0～150℃；（提供证明材料）</w:t>
            </w:r>
          </w:p>
          <w:p>
            <w:pPr>
              <w:pStyle w:val="null3"/>
            </w:pPr>
            <w:r>
              <w:rPr>
                <w:rFonts w:ascii="仿宋_GB2312" w:hAnsi="仿宋_GB2312" w:cs="仿宋_GB2312" w:eastAsia="仿宋_GB2312"/>
              </w:rPr>
              <w:t>（2）视窗材料选用蓝宝石的材质，围压釜腔体体积≥100mL，视窗直径≥30mm，芯片/薄片可视微管道宽度最低可达5μm；（提供证明材料）</w:t>
            </w:r>
          </w:p>
          <w:p>
            <w:pPr>
              <w:pStyle w:val="null3"/>
            </w:pPr>
            <w:r>
              <w:rPr>
                <w:rFonts w:ascii="仿宋_GB2312" w:hAnsi="仿宋_GB2312" w:cs="仿宋_GB2312" w:eastAsia="仿宋_GB2312"/>
              </w:rPr>
              <w:t>（3）预留两个电极接口，可实现电场加载（电压不低于36V）条件下的实验测试。</w:t>
            </w:r>
          </w:p>
          <w:p>
            <w:pPr>
              <w:pStyle w:val="null3"/>
            </w:pPr>
            <w:r>
              <w:rPr>
                <w:rFonts w:ascii="仿宋_GB2312" w:hAnsi="仿宋_GB2312" w:cs="仿宋_GB2312" w:eastAsia="仿宋_GB2312"/>
              </w:rPr>
              <w:t>（4）提供高温高压可视釜生产厂家的有效的特种设备生产许可证（许可项目包含固定式压力容器A2级及以上资质）。（响应文件中附特种设备生产许可证证书）</w:t>
            </w:r>
          </w:p>
          <w:p>
            <w:pPr>
              <w:pStyle w:val="null3"/>
            </w:pPr>
            <w:r>
              <w:rPr>
                <w:rFonts w:ascii="仿宋_GB2312" w:hAnsi="仿宋_GB2312" w:cs="仿宋_GB2312" w:eastAsia="仿宋_GB2312"/>
              </w:rPr>
              <w:t>（5）高温高压可视釜焊接不允许外包。</w:t>
            </w:r>
          </w:p>
          <w:p>
            <w:pPr>
              <w:pStyle w:val="null3"/>
            </w:pPr>
            <w:r>
              <w:rPr>
                <w:rFonts w:ascii="仿宋_GB2312" w:hAnsi="仿宋_GB2312" w:cs="仿宋_GB2312" w:eastAsia="仿宋_GB2312"/>
              </w:rPr>
              <w:t>2.可实现原位CT监测的CO₂渗流、力学加载、压裂多功能装置</w:t>
            </w:r>
          </w:p>
          <w:p>
            <w:pPr>
              <w:pStyle w:val="null3"/>
            </w:pPr>
            <w:r>
              <w:rPr>
                <w:rFonts w:ascii="仿宋_GB2312" w:hAnsi="仿宋_GB2312" w:cs="仿宋_GB2312" w:eastAsia="仿宋_GB2312"/>
              </w:rPr>
              <w:t>（1）装置可加载围压≥30MPa，压力控制精度±0.05MPa；实验温度≥160℃（采用内循环在线加热），控温精度±0.1℃；</w:t>
            </w:r>
          </w:p>
          <w:p>
            <w:pPr>
              <w:pStyle w:val="null3"/>
            </w:pPr>
            <w:r>
              <w:rPr>
                <w:rFonts w:ascii="仿宋_GB2312" w:hAnsi="仿宋_GB2312" w:cs="仿宋_GB2312" w:eastAsia="仿宋_GB2312"/>
              </w:rPr>
              <w:t>（2）具有CO₂等流体动态注入岩心渗流及损伤应变监测，进出口流量监测、出口流体分离等功能，渗流压力不低于30MPa，实验岩心尺寸：直径≥φ25mm，最大岩心长度≥50mm；进出口流量监测精度≥0.01mL/min。出口流体分离设备必须满足油气水三相自动分离及监测，分离精度≥0.1mL，监测精度≥0.05mL；</w:t>
            </w:r>
          </w:p>
          <w:p>
            <w:pPr>
              <w:pStyle w:val="null3"/>
            </w:pPr>
            <w:r>
              <w:rPr>
                <w:rFonts w:ascii="仿宋_GB2312" w:hAnsi="仿宋_GB2312" w:cs="仿宋_GB2312" w:eastAsia="仿宋_GB2312"/>
              </w:rPr>
              <w:t>（3）可实现岩石三轴力学加载破坏，力学加载过程稳压时间≥72小时，最大加载力20T，压缩速率0.1mm/min～1mm/min，行程5mm，岩样尺寸：直径≥φ25mm，最大岩心长度≥100mm；</w:t>
            </w:r>
          </w:p>
          <w:p>
            <w:pPr>
              <w:pStyle w:val="null3"/>
            </w:pPr>
            <w:r>
              <w:rPr>
                <w:rFonts w:ascii="仿宋_GB2312" w:hAnsi="仿宋_GB2312" w:cs="仿宋_GB2312" w:eastAsia="仿宋_GB2312"/>
              </w:rPr>
              <w:t>（4）具备岩石三轴压裂功能，压裂流体注入压力≥70MPa，岩样尺寸：直径≥φ50mm，最大岩心长度≥100mm；压力精度±0.05MPa、升压速率≥3.0 MPa/min。</w:t>
            </w:r>
          </w:p>
          <w:p>
            <w:pPr>
              <w:pStyle w:val="null3"/>
            </w:pPr>
            <w:r>
              <w:rPr>
                <w:rFonts w:ascii="仿宋_GB2312" w:hAnsi="仿宋_GB2312" w:cs="仿宋_GB2312" w:eastAsia="仿宋_GB2312"/>
              </w:rPr>
              <w:t>（5）装置材质及围压加载介质均具备CT可穿透性，可离线及原位CT条件下使用，夹持器预留应变片走线设计。</w:t>
            </w:r>
          </w:p>
          <w:p>
            <w:pPr>
              <w:pStyle w:val="null3"/>
            </w:pPr>
            <w:r>
              <w:rPr>
                <w:rFonts w:ascii="仿宋_GB2312" w:hAnsi="仿宋_GB2312" w:cs="仿宋_GB2312" w:eastAsia="仿宋_GB2312"/>
              </w:rPr>
              <w:t>3.显微镜成像系统：</w:t>
            </w:r>
          </w:p>
          <w:p>
            <w:pPr>
              <w:pStyle w:val="null3"/>
            </w:pPr>
            <w:r>
              <w:rPr>
                <w:rFonts w:ascii="仿宋_GB2312" w:hAnsi="仿宋_GB2312" w:cs="仿宋_GB2312" w:eastAsia="仿宋_GB2312"/>
              </w:rPr>
              <w:t>（1）采用体视显微镜，可实现微观渗流过程高清成像及录像，显微镜物镜与模型有效垂直距离≥30mm，蓝宝石视窗设计直径满足显微镜视野要求；（提供证明材料）</w:t>
            </w:r>
          </w:p>
          <w:p>
            <w:pPr>
              <w:pStyle w:val="null3"/>
            </w:pPr>
            <w:r>
              <w:rPr>
                <w:rFonts w:ascii="仿宋_GB2312" w:hAnsi="仿宋_GB2312" w:cs="仿宋_GB2312" w:eastAsia="仿宋_GB2312"/>
              </w:rPr>
              <w:t>（2）放大率范围：光学总放大倍数8～300X，连续变倍区间不小于：1.5X～20X；</w:t>
            </w:r>
          </w:p>
          <w:p>
            <w:pPr>
              <w:pStyle w:val="null3"/>
            </w:pPr>
            <w:r>
              <w:rPr>
                <w:rFonts w:ascii="仿宋_GB2312" w:hAnsi="仿宋_GB2312" w:cs="仿宋_GB2312" w:eastAsia="仿宋_GB2312"/>
              </w:rPr>
              <w:t>（3）成像：高分辨率CCD/CMOS相机（≥5MP，支持实时录像），相机像素≥800万，相机全分辨率采集帧率≥60fps；（提供证明材料）</w:t>
            </w:r>
          </w:p>
          <w:p>
            <w:pPr>
              <w:pStyle w:val="null3"/>
            </w:pPr>
            <w:r>
              <w:rPr>
                <w:rFonts w:ascii="仿宋_GB2312" w:hAnsi="仿宋_GB2312" w:cs="仿宋_GB2312" w:eastAsia="仿宋_GB2312"/>
              </w:rPr>
              <w:t>（4）调焦范围不小于：200～450mm；</w:t>
            </w:r>
          </w:p>
          <w:p>
            <w:pPr>
              <w:pStyle w:val="null3"/>
            </w:pPr>
            <w:r>
              <w:rPr>
                <w:rFonts w:ascii="仿宋_GB2312" w:hAnsi="仿宋_GB2312" w:cs="仿宋_GB2312" w:eastAsia="仿宋_GB2312"/>
              </w:rPr>
              <w:t>（5）照明：同轴LED冷光源，亮度可调，避免热扰动，保证画质清晰。色温6500K，照度≥160000LX，10W白光LED灯珠，寿命≥30000h。</w:t>
            </w:r>
          </w:p>
          <w:p>
            <w:pPr>
              <w:pStyle w:val="null3"/>
            </w:pPr>
            <w:r>
              <w:rPr>
                <w:rFonts w:ascii="仿宋_GB2312" w:hAnsi="仿宋_GB2312" w:cs="仿宋_GB2312" w:eastAsia="仿宋_GB2312"/>
              </w:rPr>
              <w:t>4.应变监测系统：</w:t>
            </w:r>
          </w:p>
          <w:p>
            <w:pPr>
              <w:pStyle w:val="null3"/>
            </w:pPr>
            <w:r>
              <w:rPr>
                <w:rFonts w:ascii="仿宋_GB2312" w:hAnsi="仿宋_GB2312" w:cs="仿宋_GB2312" w:eastAsia="仿宋_GB2312"/>
              </w:rPr>
              <w:t>（1）主要由应变监测仪、应变片、连接数据线等组成；</w:t>
            </w:r>
          </w:p>
          <w:p>
            <w:pPr>
              <w:pStyle w:val="null3"/>
            </w:pPr>
            <w:r>
              <w:rPr>
                <w:rFonts w:ascii="仿宋_GB2312" w:hAnsi="仿宋_GB2312" w:cs="仿宋_GB2312" w:eastAsia="仿宋_GB2312"/>
              </w:rPr>
              <w:t>（2）用于流体注入及力学加载过程的轴向、径向应变监测，应变片连接线通过特殊结构连接至围压系统外部的应变监测仪，信号传输通道≥16个，应变的监测精度≥1με（微应变）。</w:t>
            </w:r>
          </w:p>
          <w:p>
            <w:pPr>
              <w:pStyle w:val="null3"/>
            </w:pPr>
            <w:r>
              <w:rPr>
                <w:rFonts w:ascii="仿宋_GB2312" w:hAnsi="仿宋_GB2312" w:cs="仿宋_GB2312" w:eastAsia="仿宋_GB2312"/>
              </w:rPr>
              <w:t>5.高精度流体注入系统：</w:t>
            </w:r>
          </w:p>
          <w:p>
            <w:pPr>
              <w:pStyle w:val="null3"/>
            </w:pPr>
            <w:r>
              <w:rPr>
                <w:rFonts w:ascii="仿宋_GB2312" w:hAnsi="仿宋_GB2312" w:cs="仿宋_GB2312" w:eastAsia="仿宋_GB2312"/>
              </w:rPr>
              <w:t>（1）采用高精度双缸液驱恒压恒流泵，可精准控制CO₂等流体注入压力及流量，最高注入压力≥70MPa，流量0.0001～25mL/min，压力精度控制±0.1% FS；（提供证明材料）</w:t>
            </w:r>
          </w:p>
          <w:p>
            <w:pPr>
              <w:pStyle w:val="null3"/>
            </w:pPr>
            <w:r>
              <w:rPr>
                <w:rFonts w:ascii="仿宋_GB2312" w:hAnsi="仿宋_GB2312" w:cs="仿宋_GB2312" w:eastAsia="仿宋_GB2312"/>
              </w:rPr>
              <w:t>（2）控制方式：计算机自动控制，支持程序升压/恒压/恒流模式。</w:t>
            </w:r>
          </w:p>
          <w:p>
            <w:pPr>
              <w:pStyle w:val="null3"/>
            </w:pPr>
            <w:r>
              <w:rPr>
                <w:rFonts w:ascii="仿宋_GB2312" w:hAnsi="仿宋_GB2312" w:cs="仿宋_GB2312" w:eastAsia="仿宋_GB2312"/>
              </w:rPr>
              <w:t>6.出口压力系统控制单元：用于出口回压控制，实现自动跟踪，流量0.001～30mL/min，恒速、恒压、定体积，具有体积/压力过载保护，超压则启动泄压阀自动释放压力。</w:t>
            </w:r>
          </w:p>
          <w:p>
            <w:pPr>
              <w:pStyle w:val="null3"/>
            </w:pPr>
            <w:r>
              <w:rPr>
                <w:rFonts w:ascii="仿宋_GB2312" w:hAnsi="仿宋_GB2312" w:cs="仿宋_GB2312" w:eastAsia="仿宋_GB2312"/>
              </w:rPr>
              <w:t>7.环压加载及控制系统：工作压力≥70MPa，压力控制精度±0.05MPa；压力精度等级±0.1%FS；可实现压力自动跟踪调整及监测。</w:t>
            </w:r>
          </w:p>
          <w:p>
            <w:pPr>
              <w:pStyle w:val="null3"/>
            </w:pPr>
            <w:r>
              <w:rPr>
                <w:rFonts w:ascii="仿宋_GB2312" w:hAnsi="仿宋_GB2312" w:cs="仿宋_GB2312" w:eastAsia="仿宋_GB2312"/>
              </w:rPr>
              <w:t>8.真空系统：用于实验前杂质气体去除，要求排气无油雾；单相电机，电源220V；50Hz时，抽速≥5m³/h，极限真空度≤5×10</w:t>
            </w:r>
            <w:r>
              <w:rPr>
                <w:rFonts w:ascii="仿宋_GB2312" w:hAnsi="仿宋_GB2312" w:cs="仿宋_GB2312" w:eastAsia="仿宋_GB2312"/>
                <w:vertAlign w:val="superscript"/>
              </w:rPr>
              <w:t>-8</w:t>
            </w:r>
            <w:r>
              <w:rPr>
                <w:rFonts w:ascii="仿宋_GB2312" w:hAnsi="仿宋_GB2312" w:cs="仿宋_GB2312" w:eastAsia="仿宋_GB2312"/>
              </w:rPr>
              <w:t>MPa。</w:t>
            </w:r>
          </w:p>
          <w:p>
            <w:pPr>
              <w:pStyle w:val="null3"/>
            </w:pPr>
            <w:r>
              <w:rPr>
                <w:rFonts w:ascii="仿宋_GB2312" w:hAnsi="仿宋_GB2312" w:cs="仿宋_GB2312" w:eastAsia="仿宋_GB2312"/>
              </w:rPr>
              <w:t>9.温控系统：采用内循环在线加热，精确控制实验系统温度，工作温度0~150℃，升温速率≥5℃/min，可实现自动追踪控温，控温精度±0.1℃，温度分辨率≤0.05℃。</w:t>
            </w:r>
          </w:p>
          <w:p>
            <w:pPr>
              <w:pStyle w:val="null3"/>
            </w:pPr>
            <w:r>
              <w:rPr>
                <w:rFonts w:ascii="仿宋_GB2312" w:hAnsi="仿宋_GB2312" w:cs="仿宋_GB2312" w:eastAsia="仿宋_GB2312"/>
              </w:rPr>
              <w:t>10.可视化监测数据采集及处理系统：</w:t>
            </w:r>
          </w:p>
          <w:p>
            <w:pPr>
              <w:pStyle w:val="null3"/>
            </w:pPr>
            <w:r>
              <w:rPr>
                <w:rFonts w:ascii="仿宋_GB2312" w:hAnsi="仿宋_GB2312" w:cs="仿宋_GB2312" w:eastAsia="仿宋_GB2312"/>
              </w:rPr>
              <w:t>（1）提供专业可视化监测数据采集及处理软件，可实现温度、压力、流量、图像等同频实时采集；数据存储：自动保存，支持导出Excel或CSV；控制功能：可编程升压、恒温、恒流、自动停泵等；通讯接口：USB 或 RS485 或 Ethernet；</w:t>
            </w:r>
          </w:p>
          <w:p>
            <w:pPr>
              <w:pStyle w:val="null3"/>
            </w:pPr>
            <w:r>
              <w:rPr>
                <w:rFonts w:ascii="仿宋_GB2312" w:hAnsi="仿宋_GB2312" w:cs="仿宋_GB2312" w:eastAsia="仿宋_GB2312"/>
              </w:rPr>
              <w:t>（2）本项目产品须根据需求配备用于信息采集、信号监测的适配操作终端，费用均包含在本项目报价中。</w:t>
            </w:r>
          </w:p>
          <w:p>
            <w:pPr>
              <w:pStyle w:val="null3"/>
            </w:pPr>
            <w:r>
              <w:rPr>
                <w:rFonts w:ascii="仿宋_GB2312" w:hAnsi="仿宋_GB2312" w:cs="仿宋_GB2312" w:eastAsia="仿宋_GB2312"/>
              </w:rPr>
              <w:t>11.高温、高压循环单元：主要用于多功能装置内循环在线加热，最大泵排量≥2L/min，最大工作压力≥30MPa，耐温≥180℃。</w:t>
            </w:r>
          </w:p>
          <w:p>
            <w:pPr>
              <w:pStyle w:val="null3"/>
            </w:pPr>
            <w:r>
              <w:rPr>
                <w:rFonts w:ascii="仿宋_GB2312" w:hAnsi="仿宋_GB2312" w:cs="仿宋_GB2312" w:eastAsia="仿宋_GB2312"/>
              </w:rPr>
              <w:t>三、安全防护及辅助工具</w:t>
            </w:r>
          </w:p>
          <w:p>
            <w:pPr>
              <w:pStyle w:val="null3"/>
            </w:pPr>
            <w:r>
              <w:rPr>
                <w:rFonts w:ascii="仿宋_GB2312" w:hAnsi="仿宋_GB2312" w:cs="仿宋_GB2312" w:eastAsia="仿宋_GB2312"/>
              </w:rPr>
              <w:t>1.安全防护系统：防止超压、超温、泄漏等事故，可实现超压、超温预警及断电保护，配备必要的视窗防爆罩。具有超压安全泄压阀，泄压阈值为68MPa；可实现超温自动断电，流体泄露自动停泵等功能，配备声光预警报警器，应对可能存在的突发情况。</w:t>
            </w:r>
          </w:p>
          <w:p>
            <w:pPr>
              <w:pStyle w:val="null3"/>
            </w:pPr>
            <w:r>
              <w:rPr>
                <w:rFonts w:ascii="仿宋_GB2312" w:hAnsi="仿宋_GB2312" w:cs="仿宋_GB2312" w:eastAsia="仿宋_GB2312"/>
              </w:rPr>
              <w:t>2.中间容器：2个活塞式蓄能器（或指带活塞的中间容器），总容器体积500ml，耐压≥70MPa，可辅助实现流体注入。</w:t>
            </w:r>
          </w:p>
          <w:p>
            <w:pPr>
              <w:pStyle w:val="null3"/>
            </w:pPr>
            <w:r>
              <w:rPr>
                <w:rFonts w:ascii="仿宋_GB2312" w:hAnsi="仿宋_GB2312" w:cs="仿宋_GB2312" w:eastAsia="仿宋_GB2312"/>
              </w:rPr>
              <w:t>3.符合国标的CO₂气瓶3个，容积≥40L，使用环境温度-20~60℃，承压≥15 MPa；并配备带仪表的CO₂减压阀2个，要求减压阀输入量程0~25 MPa，输出量程0~0.25 MPa，输出起压调节范围0.01~0.15 MPa。</w:t>
            </w:r>
          </w:p>
          <w:p>
            <w:pPr>
              <w:pStyle w:val="null3"/>
            </w:pPr>
            <w:r>
              <w:rPr>
                <w:rFonts w:ascii="仿宋_GB2312" w:hAnsi="仿宋_GB2312" w:cs="仿宋_GB2312" w:eastAsia="仿宋_GB2312"/>
              </w:rPr>
              <w:t>4.提供微纳尺度芯片≥5片。</w:t>
            </w:r>
          </w:p>
          <w:p>
            <w:pPr>
              <w:pStyle w:val="null3"/>
            </w:pPr>
            <w:r>
              <w:rPr>
                <w:rFonts w:ascii="仿宋_GB2312" w:hAnsi="仿宋_GB2312" w:cs="仿宋_GB2312" w:eastAsia="仿宋_GB2312"/>
              </w:rPr>
              <w:t>5.应变片数量≥300片。</w:t>
            </w:r>
          </w:p>
          <w:p>
            <w:pPr>
              <w:pStyle w:val="null3"/>
            </w:pPr>
            <w:r>
              <w:rPr>
                <w:rFonts w:ascii="仿宋_GB2312" w:hAnsi="仿宋_GB2312" w:cs="仿宋_GB2312" w:eastAsia="仿宋_GB2312"/>
              </w:rPr>
              <w:t>6.提供相关的安装、拆卸工具及工具箱一套。</w:t>
            </w:r>
          </w:p>
          <w:p>
            <w:pPr>
              <w:pStyle w:val="null3"/>
            </w:pPr>
            <w:r>
              <w:rPr>
                <w:rFonts w:ascii="仿宋_GB2312" w:hAnsi="仿宋_GB2312" w:cs="仿宋_GB2312" w:eastAsia="仿宋_GB2312"/>
              </w:rPr>
              <w:t>注：上述所有技术参数均须满足或优于要求，参数中要求提供证明材料的（证明材料可为第三方检测报告或产品彩页或官网截图或加盖厂家公章的技术说明书），参数不满足或未按参数要求提供证明材料或证明材料无法佐证视为负偏离，按无效文件处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交货时间为本合同生效后180天内到货并安装调试交付使用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3.5.1表述为准）合同签订后，供应商开具预付款等额银行保函，采购人收到银行保函正本后10个工作日内支付预付款，最多支付至80万元。验收合格，并出具增值税专用发票，达到付款条件后10个工作日内付清余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成交供应商自行选择，但包装必须符合国家标准或行业标准，满足航空、铁路或公路运输以及货物装卸要求，保证使用人收到的是无任何损伤的货物。否则，因此造成的损失由成交供应商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自学校验收合格之日起3年。售后响应：售后服务效率要求：7*24 即时响应（包括电话响应）；电话响应无法解决时，24小时内到达现场。修复时间48小时内；如48小时内无法修复，应提供相应解决方案。售后服务标准要求：技术服务：①设备安装、调试和验收 ②卖方应在合同生效后的1个月内向用户提供详细的安装要求并提供技术咨询。③仪器到达用户所在地，在接到用户通知后一周内进行安装调试，直至通过验收。 ④保修期：成交供应商提供三年的保修,保修期从验收合格之日起计算。保修期间维修、零件更换费用以及由此所产生的其它一切费用均由成交供应商承担。⑤维修响应时间：成交供应商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支付约定：合同签订后，供应商开具预付款等额银行保函，采购人收到银行保函正本后10个工作日内支付预付款，最多支付至80万元。验收合格，并出具增值税专用发票，达到付款条件后10个工作日内付清余款。 3.5.2.培训要求：在用户所在地对用户进行为期1周的培训。培训内容包括仪器的技术原理、操作、数据处理、基本维护等。验收后半年内组织买方相关人员2人参加举办的相关应用培训班。 3.5.3.提供搬迁安装调试服务至少1次。 3.5.4、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3）投标人所提供的产品型号、产地等重要信息，需要与仪器机身保持一致。 3.5.5、谈判保证金注意事项： （1）谈判保证金缴纳截止时间：同响应文件递交截止时间一致。（2）谈判保证金须从供应商户名支付，如从个人户名或非供应商户名支付，将被拒绝，视为自动放弃投标权利（该个人是供应商的情形除外）；以保函形式交纳投标保证金的，供应商应在响应文件截止时间前将保函扫描成清晰的PDF文件，发送至邮箱2559647209@qq.com（邮件命名：项目编号）。保函必须由具有开具投标保函资格的单位开具；若供应商违约，开具保函单位承担连带责任。 3.5.6、需要落实的政府采购政策：①《国务院办公厅关于建立政府强制采购节能产品制度的通知》（国办发〔2007〕51号）；②《财政部 司法部关于政府采购支持监狱企业发展有关问题的通知》（财库〔2014〕68号）；③《三部门联合发布关于促进残疾人就业政府采购政策的通知》（财库〔2017〕141号）；④《财政部 发展改革委 生态环境部 市场监管总局关于调整优化节能产品、环境标志产品政府采购执行机制的通知》（财库〔2019〕9号）；⑤《关于运用政府采购政策支持乡村产业振兴的通知》（财库〔2021〕19号）；⑥《政府采购促进中小企业发展管理办法》（财库〔2020〕46号）；⑦陕西省财政厅关于印发《陕西省中小企业政府采购信用融资办法》（陕财办采〔2018〕23号）；⑧《关于进一步加大政府采购支持中小企业力度的通知》（财库〔2022〕19号）；⑨《关于扩大政府采购支持绿色建材促进建筑品质提升政策实施范围的通知》（财库〔2022〕35号）；⑩如有最新颁布的政府采购政策，按最新的文件执行。 3.5.7、成交供应商应在成交结果发布后2日内提供与电子化交易平台上传一致的纸质响应文件2份。 3.5.8、本国产品认定以出具符合要求的《声明函》或有关证明文件的为依据。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具有统一社会信用代码证的营业执照（或事业单位法人证），分支机构参与投标的，提供有效的分支机构营业执照，以及有效的总公司营业执照及总公司针对本项目的授权书；供应商为自然人的提供身份证；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谈判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交货时间为本合同生效后180天内到货并安装调试交付使用</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合同签订后，供应商开具预付款等额银行保函，采购人收到银行保函正本后10个工作日内支付预付款，最多支付至80万元。验收合格，并出具增值税专用发票，达到付款条件后10个工作日内付清余款</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响应文件封面 6供应商认为需要提供的其他资料.docx 5技术响应与偏离表.docx 4承诺书.docx 1分项价格表.docx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