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版本号：政采-省本级-2026-0382920260513001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陕西水利工程调度中心实施方案编制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政采-省本级-2026-03829</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陕西泰诚邦工程管理有限公司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陕西泰诚邦工程管理有限公司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陕西水利工程调度中心实施方案编制</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政采-省本级-2026-03829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陕西水利工程调度中心实施方案编制</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以“充分利旧、整合提升、简朴实用”为原则，以改造省水利工程调度管理中心现有环境为基础，以提升调度管理信息化基础设施功能为依托，以整合、集成、开发省级智慧水利建设、省级部门数字孪生工程、市级水利信息化建设业务应用功能系统为重点，开展陕西省水利工程管理调度中心实施方案设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1、资质要求：供应商须具备工程设计水利行业乙级（含乙级）以上资质，须提供有效的资质证书复印件。</w:t>
      </w:r>
    </w:p>
    <w:p>
      <w:pPr>
        <w:pStyle w:val="null3"/>
      </w:pPr>
      <w:r>
        <w:rPr>
          <w:rFonts w:ascii="仿宋_GB2312" w:hAnsi="仿宋_GB2312" w:cs="仿宋_GB2312" w:eastAsia="仿宋_GB2312"/>
        </w:rPr>
        <w:t>2、营业执照或事业单位法人证书：供应商为合法注册的法人、其他组织，具有独立承担民事责任的能力，提供营业执照或事业单位法人证书复印件，供应商为自然人的提供身份证复印件。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3、项目负责人要求：（1）项目负责人须为本单位人员并提供相应证明材料复印件。（2）项目负责人须具有水利相关专业高级（含高级）以上技术职称，并提供有效的高级（含高级）以上技术职称证书复印件。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5、社保缴纳证明：提供递交投标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6、无重大违法记录的书面声明：参加政府采购活动前三年内，在经营活动中没有重大违法记录书面声明并加盖公章。</w:t>
      </w:r>
    </w:p>
    <w:p>
      <w:pPr>
        <w:pStyle w:val="null3"/>
      </w:pPr>
      <w:r>
        <w:rPr>
          <w:rFonts w:ascii="仿宋_GB2312" w:hAnsi="仿宋_GB2312" w:cs="仿宋_GB2312" w:eastAsia="仿宋_GB2312"/>
        </w:rPr>
        <w:t>7、具有履行本合同所必需的设备和专业技术能力：提供具有履行本合同所必需的设备和专业技术能力的承诺并加盖公章。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029-61835282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陕西泰诚邦工程管理有限公司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榆林市榆阳区文化南路榆溪雅园西门227号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13772065869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号）、《国家发展和改革委员会办公厅关于招标代理服务收费有关问题的通知》（发改办价格〔2003〕857号）及（发改办价格〔2011〕534号）规定的标准收取。成交供应商在领取成交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陕西泰诚邦工程管理有限公司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陕西泰诚邦工程管理有限公司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陕西泰诚邦工程管理有限公司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符合招标文件要求，符合国家行业标准、规范。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联系人：申工</w:t>
      </w:r>
    </w:p>
    <w:p>
      <w:pPr>
        <w:pStyle w:val="null3"/>
      </w:pPr>
      <w:r>
        <w:rPr>
          <w:rFonts w:ascii="仿宋_GB2312" w:hAnsi="仿宋_GB2312" w:cs="仿宋_GB2312" w:eastAsia="仿宋_GB2312"/>
        </w:rPr>
        <w:t>联系电话：13772065869</w:t>
      </w:r>
    </w:p>
    <w:p>
      <w:pPr>
        <w:pStyle w:val="null3"/>
      </w:pPr>
      <w:r>
        <w:rPr>
          <w:rFonts w:ascii="仿宋_GB2312" w:hAnsi="仿宋_GB2312" w:cs="仿宋_GB2312" w:eastAsia="仿宋_GB2312"/>
        </w:rPr>
        <w:t>地址：榆林市榆阳区文化南路榆溪雅园西门227号</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充分利旧、整合提升、简朴实用”为原则，以改造陕西省水利工程调度管理中心现有环境为基础，以提升调度管理信息化基础设施功能为依托，以整合、集成、开发省级智慧水利建设、省级部门数字孪生工程、市级水利信息化建设业务应用功能系统为重点，开展陕西省水利工程管理调度中心实施方案设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陕西水利工程调度中心实施方案编制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标的名称：陕西水利工程调度中心实施方案编制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rPr>
              <w:t xml:space="preserve"> 一、主要工作内容</w:t>
            </w:r>
          </w:p>
          <w:p>
            <w:pPr>
              <w:pStyle w:val="null3"/>
              <w:ind w:firstLine="556"/>
              <w:jc w:val="both"/>
            </w:pPr>
            <w:r>
              <w:rPr>
                <w:rFonts w:ascii="仿宋_GB2312" w:hAnsi="仿宋_GB2312" w:cs="仿宋_GB2312" w:eastAsia="仿宋_GB2312"/>
                <w:sz w:val="21"/>
              </w:rPr>
              <w:t>以“充分利旧、整合提升、简朴实用”为原则，以改造省水利工程调度管理中心现有环境为基础，以提升调度管理信息化基础设施功能为依托，以整合、集成、开发省级智慧水利建设、省级部门数字孪生工程、市级水利信息化建设业务应用功能系统为重点，开展陕西省水利工程管理调度中心实施方案设计。</w:t>
            </w:r>
          </w:p>
          <w:p>
            <w:pPr>
              <w:pStyle w:val="null3"/>
              <w:ind w:firstLine="556"/>
              <w:jc w:val="both"/>
            </w:pPr>
            <w:r>
              <w:rPr>
                <w:rFonts w:ascii="仿宋_GB2312" w:hAnsi="仿宋_GB2312" w:cs="仿宋_GB2312" w:eastAsia="仿宋_GB2312"/>
                <w:sz w:val="21"/>
              </w:rPr>
              <w:t>（1）</w:t>
            </w:r>
            <w:r>
              <w:rPr>
                <w:rFonts w:ascii="仿宋_GB2312" w:hAnsi="仿宋_GB2312" w:cs="仿宋_GB2312" w:eastAsia="仿宋_GB2312"/>
                <w:sz w:val="21"/>
              </w:rPr>
              <w:t>实体环境设施改造</w:t>
            </w:r>
          </w:p>
          <w:p>
            <w:pPr>
              <w:pStyle w:val="null3"/>
              <w:ind w:firstLine="556"/>
              <w:jc w:val="both"/>
            </w:pPr>
            <w:r>
              <w:rPr>
                <w:rFonts w:ascii="仿宋_GB2312" w:hAnsi="仿宋_GB2312" w:cs="仿宋_GB2312" w:eastAsia="仿宋_GB2312"/>
                <w:sz w:val="21"/>
              </w:rPr>
              <w:t>管理调度中心实体环境设施改造，改造内容包括管理调度中心室内消防通风、信息化布控、空间装饰、电路改造等相关设计，从而满足管理调度中心各项使用功能。</w:t>
            </w:r>
          </w:p>
          <w:p>
            <w:pPr>
              <w:pStyle w:val="null3"/>
              <w:ind w:firstLine="556"/>
              <w:jc w:val="both"/>
            </w:pPr>
            <w:r>
              <w:rPr>
                <w:rFonts w:ascii="仿宋_GB2312" w:hAnsi="仿宋_GB2312" w:cs="仿宋_GB2312" w:eastAsia="仿宋_GB2312"/>
                <w:sz w:val="21"/>
              </w:rPr>
              <w:t>（2）设施设备提升改造</w:t>
            </w:r>
          </w:p>
          <w:p>
            <w:pPr>
              <w:pStyle w:val="null3"/>
              <w:ind w:firstLine="556"/>
              <w:jc w:val="both"/>
            </w:pPr>
            <w:r>
              <w:rPr>
                <w:rFonts w:ascii="仿宋_GB2312" w:hAnsi="仿宋_GB2312" w:cs="仿宋_GB2312" w:eastAsia="仿宋_GB2312"/>
                <w:sz w:val="21"/>
              </w:rPr>
              <w:t>满足调度中心功能需求。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（3）业务应用集成开发</w:t>
            </w:r>
          </w:p>
          <w:p>
            <w:pPr>
              <w:pStyle w:val="null3"/>
            </w:pPr>
            <w:r>
              <w:rPr>
                <w:rFonts w:ascii="仿宋_GB2312" w:hAnsi="仿宋_GB2312" w:cs="仿宋_GB2312" w:eastAsia="仿宋_GB2312"/>
                <w:sz w:val="21"/>
              </w:rPr>
              <w:t xml:space="preserve">   基于水利厅已建业务应用，陕西水利重点工程、水库工程、灌区工程、引调水工程已建业务应用，以及各市已建业务应用成果，进行实时调用展示，实现系统集成管控。同步梳理提取各类信息化系统工程管理历史数据、实时数据、调度数据等关键数据进行数据库建设，为水利工程管理调度中心提供数据资源，构建水利工程应用场景，实现全省水利工程建设管理调度、应急事件会商、应急调度决策指挥。</w:t>
            </w:r>
          </w:p>
          <w:p>
            <w:pPr>
              <w:pStyle w:val="null3"/>
              <w:ind w:firstLine="556"/>
              <w:jc w:val="both"/>
            </w:pPr>
            <w:r>
              <w:rPr>
                <w:rFonts w:ascii="仿宋_GB2312" w:hAnsi="仿宋_GB2312" w:cs="仿宋_GB2312" w:eastAsia="仿宋_GB2312"/>
                <w:sz w:val="21"/>
              </w:rPr>
              <w:t>二、</w:t>
            </w:r>
            <w:r>
              <w:rPr>
                <w:rFonts w:ascii="仿宋_GB2312" w:hAnsi="仿宋_GB2312" w:cs="仿宋_GB2312" w:eastAsia="仿宋_GB2312"/>
                <w:sz w:val="21"/>
              </w:rPr>
              <w:t>设计范围</w:t>
            </w:r>
          </w:p>
          <w:p>
            <w:pPr>
              <w:pStyle w:val="null3"/>
              <w:ind w:firstLine="556"/>
              <w:jc w:val="both"/>
            </w:pPr>
            <w:r>
              <w:rPr>
                <w:rFonts w:ascii="仿宋_GB2312" w:hAnsi="仿宋_GB2312" w:cs="仿宋_GB2312" w:eastAsia="仿宋_GB2312"/>
                <w:sz w:val="21"/>
              </w:rPr>
              <w:t>统筹水灾害、水资源、水工程、水生态、水行政、水安全等业务，建设全省水利工程调度管理中心，涵盖实体环境设施改造、设施设备提升改造、业务应用集成开发等内容。</w:t>
            </w:r>
          </w:p>
          <w:p>
            <w:pPr>
              <w:pStyle w:val="null3"/>
              <w:ind w:firstLine="556"/>
              <w:jc w:val="both"/>
            </w:pPr>
            <w:r>
              <w:rPr>
                <w:rFonts w:ascii="仿宋_GB2312" w:hAnsi="仿宋_GB2312" w:cs="仿宋_GB2312" w:eastAsia="仿宋_GB2312"/>
                <w:sz w:val="21"/>
              </w:rPr>
              <w:t>三、</w:t>
            </w:r>
            <w:r>
              <w:rPr>
                <w:rFonts w:ascii="仿宋_GB2312" w:hAnsi="仿宋_GB2312" w:cs="仿宋_GB2312" w:eastAsia="仿宋_GB2312"/>
                <w:sz w:val="21"/>
              </w:rPr>
              <w:t>主要依据</w:t>
            </w:r>
          </w:p>
          <w:p>
            <w:pPr>
              <w:pStyle w:val="null3"/>
              <w:ind w:firstLine="556"/>
              <w:jc w:val="both"/>
            </w:pPr>
            <w:r>
              <w:rPr>
                <w:rFonts w:ascii="仿宋_GB2312" w:hAnsi="仿宋_GB2312" w:cs="仿宋_GB2312" w:eastAsia="仿宋_GB2312"/>
                <w:sz w:val="21"/>
              </w:rPr>
              <w:t>1</w:t>
            </w:r>
            <w:r>
              <w:rPr>
                <w:rFonts w:ascii="仿宋_GB2312" w:hAnsi="仿宋_GB2312" w:cs="仿宋_GB2312" w:eastAsia="仿宋_GB2312"/>
                <w:sz w:val="21"/>
              </w:rPr>
              <w:t>.政策</w:t>
            </w:r>
            <w:r>
              <w:rPr>
                <w:rFonts w:ascii="仿宋_GB2312" w:hAnsi="仿宋_GB2312" w:cs="仿宋_GB2312" w:eastAsia="仿宋_GB2312"/>
                <w:sz w:val="21"/>
              </w:rPr>
              <w:t>法规</w:t>
            </w:r>
          </w:p>
          <w:p>
            <w:pPr>
              <w:pStyle w:val="null3"/>
              <w:ind w:firstLine="556"/>
              <w:jc w:val="both"/>
            </w:pPr>
            <w:r>
              <w:rPr>
                <w:rFonts w:ascii="仿宋_GB2312" w:hAnsi="仿宋_GB2312" w:cs="仿宋_GB2312" w:eastAsia="仿宋_GB2312"/>
                <w:sz w:val="21"/>
              </w:rPr>
              <w:t>《中华人民共和国水法》</w:t>
            </w:r>
          </w:p>
          <w:p>
            <w:pPr>
              <w:pStyle w:val="null3"/>
              <w:ind w:firstLine="556"/>
              <w:jc w:val="both"/>
            </w:pPr>
            <w:r>
              <w:rPr>
                <w:rFonts w:ascii="仿宋_GB2312" w:hAnsi="仿宋_GB2312" w:cs="仿宋_GB2312" w:eastAsia="仿宋_GB2312"/>
                <w:sz w:val="21"/>
              </w:rPr>
              <w:t>《中华人民共和国网络安全法》</w:t>
            </w:r>
          </w:p>
          <w:p>
            <w:pPr>
              <w:pStyle w:val="null3"/>
              <w:ind w:firstLine="556"/>
              <w:jc w:val="both"/>
            </w:pPr>
            <w:r>
              <w:rPr>
                <w:rFonts w:ascii="仿宋_GB2312" w:hAnsi="仿宋_GB2312" w:cs="仿宋_GB2312" w:eastAsia="仿宋_GB2312"/>
                <w:sz w:val="21"/>
              </w:rPr>
              <w:t>《中华人民共和国数据安全法》</w:t>
            </w:r>
          </w:p>
          <w:p>
            <w:pPr>
              <w:pStyle w:val="null3"/>
              <w:ind w:firstLine="556"/>
              <w:jc w:val="both"/>
            </w:pPr>
            <w:r>
              <w:rPr>
                <w:rFonts w:ascii="仿宋_GB2312" w:hAnsi="仿宋_GB2312" w:cs="仿宋_GB2312" w:eastAsia="仿宋_GB2312"/>
                <w:sz w:val="21"/>
              </w:rPr>
              <w:t>《“十四五”国家网络安全和信息化发展规划》</w:t>
            </w:r>
          </w:p>
          <w:p>
            <w:pPr>
              <w:pStyle w:val="null3"/>
              <w:ind w:firstLine="556"/>
              <w:jc w:val="both"/>
            </w:pPr>
            <w:r>
              <w:rPr>
                <w:rFonts w:ascii="仿宋_GB2312" w:hAnsi="仿宋_GB2312" w:cs="仿宋_GB2312" w:eastAsia="仿宋_GB2312"/>
                <w:sz w:val="21"/>
              </w:rPr>
              <w:t>《关键信息基础设施安全保护条例》</w:t>
            </w:r>
          </w:p>
          <w:p>
            <w:pPr>
              <w:pStyle w:val="null3"/>
              <w:ind w:firstLine="556"/>
              <w:jc w:val="both"/>
            </w:pPr>
            <w:r>
              <w:rPr>
                <w:rFonts w:ascii="仿宋_GB2312" w:hAnsi="仿宋_GB2312" w:cs="仿宋_GB2312" w:eastAsia="仿宋_GB2312"/>
                <w:sz w:val="21"/>
              </w:rPr>
              <w:t>《国家信息化发展战略纲要》</w:t>
            </w:r>
          </w:p>
          <w:p>
            <w:pPr>
              <w:pStyle w:val="null3"/>
              <w:ind w:firstLine="556"/>
              <w:jc w:val="both"/>
            </w:pPr>
            <w:r>
              <w:rPr>
                <w:rFonts w:ascii="仿宋_GB2312" w:hAnsi="仿宋_GB2312" w:cs="仿宋_GB2312" w:eastAsia="仿宋_GB2312"/>
                <w:sz w:val="21"/>
              </w:rPr>
              <w:t>《国民经济和社会发展十四五规划和2035年远景目标纲要》（2021年3月）</w:t>
            </w:r>
          </w:p>
          <w:p>
            <w:pPr>
              <w:pStyle w:val="null3"/>
              <w:ind w:firstLine="556"/>
              <w:jc w:val="both"/>
            </w:pPr>
            <w:r>
              <w:rPr>
                <w:rFonts w:ascii="仿宋_GB2312" w:hAnsi="仿宋_GB2312" w:cs="仿宋_GB2312" w:eastAsia="仿宋_GB2312"/>
                <w:sz w:val="21"/>
              </w:rPr>
              <w:t>《国务院关于加强数字政府建设的指导意见》（国发〔2022〕14号）；</w:t>
            </w:r>
          </w:p>
          <w:p>
            <w:pPr>
              <w:pStyle w:val="null3"/>
              <w:ind w:firstLine="556"/>
              <w:jc w:val="both"/>
            </w:pPr>
            <w:r>
              <w:rPr>
                <w:rFonts w:ascii="仿宋_GB2312" w:hAnsi="仿宋_GB2312" w:cs="仿宋_GB2312" w:eastAsia="仿宋_GB2312"/>
                <w:sz w:val="21"/>
              </w:rPr>
              <w:t>《陕西省数字政府建设“十四五”规划》（陕政办发〔2021〕27号）；</w:t>
            </w:r>
          </w:p>
          <w:p>
            <w:pPr>
              <w:pStyle w:val="null3"/>
              <w:ind w:firstLine="556"/>
              <w:jc w:val="both"/>
            </w:pPr>
            <w:r>
              <w:rPr>
                <w:rFonts w:ascii="仿宋_GB2312" w:hAnsi="仿宋_GB2312" w:cs="仿宋_GB2312" w:eastAsia="仿宋_GB2312"/>
                <w:sz w:val="21"/>
              </w:rPr>
              <w:t>《关于大力推进智慧水利建设指导意见》（水利部2021年7月）</w:t>
            </w:r>
          </w:p>
          <w:p>
            <w:pPr>
              <w:pStyle w:val="null3"/>
              <w:ind w:firstLine="556"/>
              <w:jc w:val="both"/>
            </w:pPr>
            <w:r>
              <w:rPr>
                <w:rFonts w:ascii="仿宋_GB2312" w:hAnsi="仿宋_GB2312" w:cs="仿宋_GB2312" w:eastAsia="仿宋_GB2312"/>
                <w:sz w:val="21"/>
              </w:rPr>
              <w:t>《智慧水利建设顶层设计》（水利部2021年7月）</w:t>
            </w:r>
          </w:p>
          <w:p>
            <w:pPr>
              <w:pStyle w:val="null3"/>
              <w:ind w:firstLine="556"/>
              <w:jc w:val="both"/>
            </w:pPr>
            <w:r>
              <w:rPr>
                <w:rFonts w:ascii="仿宋_GB2312" w:hAnsi="仿宋_GB2312" w:cs="仿宋_GB2312" w:eastAsia="仿宋_GB2312"/>
                <w:sz w:val="21"/>
              </w:rPr>
              <w:t>《“十四五”智慧水利建设实施方案》（水利部2021年7月）</w:t>
            </w:r>
          </w:p>
          <w:p>
            <w:pPr>
              <w:pStyle w:val="null3"/>
              <w:ind w:firstLine="556"/>
              <w:jc w:val="both"/>
            </w:pPr>
            <w:r>
              <w:rPr>
                <w:rFonts w:ascii="仿宋_GB2312" w:hAnsi="仿宋_GB2312" w:cs="仿宋_GB2312" w:eastAsia="仿宋_GB2312"/>
                <w:sz w:val="21"/>
              </w:rPr>
              <w:t>《陕西省智慧水利“十四五”规划》（陕西省水利厅，2021年7月）</w:t>
            </w:r>
          </w:p>
          <w:p>
            <w:pPr>
              <w:pStyle w:val="null3"/>
              <w:ind w:firstLine="556"/>
              <w:jc w:val="both"/>
            </w:pPr>
            <w:r>
              <w:rPr>
                <w:rFonts w:ascii="仿宋_GB2312" w:hAnsi="仿宋_GB2312" w:cs="仿宋_GB2312" w:eastAsia="仿宋_GB2312"/>
                <w:sz w:val="21"/>
              </w:rPr>
              <w:t>2</w:t>
            </w:r>
            <w:r>
              <w:rPr>
                <w:rFonts w:ascii="仿宋_GB2312" w:hAnsi="仿宋_GB2312" w:cs="仿宋_GB2312" w:eastAsia="仿宋_GB2312"/>
                <w:sz w:val="21"/>
              </w:rPr>
              <w:t>.标准规范</w:t>
            </w:r>
          </w:p>
          <w:p>
            <w:pPr>
              <w:pStyle w:val="null3"/>
              <w:ind w:firstLine="556"/>
              <w:jc w:val="both"/>
            </w:pPr>
            <w:r>
              <w:rPr>
                <w:rFonts w:ascii="仿宋_GB2312" w:hAnsi="仿宋_GB2312" w:cs="仿宋_GB2312" w:eastAsia="仿宋_GB2312"/>
                <w:sz w:val="21"/>
              </w:rPr>
              <w:t>《数据中心设计规范》（GB50174-2017）</w:t>
            </w:r>
          </w:p>
          <w:p>
            <w:pPr>
              <w:pStyle w:val="null3"/>
              <w:ind w:firstLine="556"/>
              <w:jc w:val="both"/>
            </w:pPr>
            <w:r>
              <w:rPr>
                <w:rFonts w:ascii="仿宋_GB2312" w:hAnsi="仿宋_GB2312" w:cs="仿宋_GB2312" w:eastAsia="仿宋_GB2312"/>
                <w:sz w:val="21"/>
              </w:rPr>
              <w:t>《信息系统密码应用基本要求》（GM/T 0054-2018）</w:t>
            </w:r>
          </w:p>
          <w:p>
            <w:pPr>
              <w:pStyle w:val="null3"/>
              <w:ind w:firstLine="556"/>
              <w:jc w:val="both"/>
            </w:pPr>
            <w:r>
              <w:rPr>
                <w:rFonts w:ascii="仿宋_GB2312" w:hAnsi="仿宋_GB2312" w:cs="仿宋_GB2312" w:eastAsia="仿宋_GB2312"/>
                <w:sz w:val="21"/>
              </w:rPr>
              <w:t>《工业电视系统工程设计标准》GB/T 50115-2019</w:t>
            </w:r>
          </w:p>
          <w:p>
            <w:pPr>
              <w:pStyle w:val="null3"/>
              <w:ind w:firstLine="556"/>
              <w:jc w:val="both"/>
            </w:pPr>
            <w:r>
              <w:rPr>
                <w:rFonts w:ascii="仿宋_GB2312" w:hAnsi="仿宋_GB2312" w:cs="仿宋_GB2312" w:eastAsia="仿宋_GB2312"/>
                <w:sz w:val="21"/>
              </w:rPr>
              <w:t>《信息安全技术网络安全等级保护实施指南》（GB/T25058-2019）</w:t>
            </w:r>
          </w:p>
          <w:p>
            <w:pPr>
              <w:pStyle w:val="null3"/>
              <w:ind w:firstLine="556"/>
              <w:jc w:val="both"/>
            </w:pPr>
            <w:r>
              <w:rPr>
                <w:rFonts w:ascii="仿宋_GB2312" w:hAnsi="仿宋_GB2312" w:cs="仿宋_GB2312" w:eastAsia="仿宋_GB2312"/>
                <w:sz w:val="21"/>
              </w:rPr>
              <w:t>《信息安全技术数据库管理系统安全技术要求》（GB/T20273-2019）</w:t>
            </w:r>
          </w:p>
          <w:p>
            <w:pPr>
              <w:pStyle w:val="null3"/>
              <w:ind w:firstLine="556"/>
              <w:jc w:val="both"/>
            </w:pPr>
            <w:r>
              <w:rPr>
                <w:rFonts w:ascii="仿宋_GB2312" w:hAnsi="仿宋_GB2312" w:cs="仿宋_GB2312" w:eastAsia="仿宋_GB2312"/>
                <w:sz w:val="21"/>
              </w:rPr>
              <w:t>《网络安全等级保护基本要求》（GB/T 22239-2019）</w:t>
            </w:r>
          </w:p>
          <w:p>
            <w:pPr>
              <w:pStyle w:val="null3"/>
              <w:ind w:firstLine="556"/>
              <w:jc w:val="both"/>
            </w:pPr>
            <w:r>
              <w:rPr>
                <w:rFonts w:ascii="仿宋_GB2312" w:hAnsi="仿宋_GB2312" w:cs="仿宋_GB2312" w:eastAsia="仿宋_GB2312"/>
                <w:sz w:val="21"/>
              </w:rPr>
              <w:t>《网络安全等级保护测评要求》（GB/T 28448-2019）</w:t>
            </w:r>
          </w:p>
          <w:p>
            <w:pPr>
              <w:pStyle w:val="null3"/>
              <w:ind w:firstLine="556"/>
              <w:jc w:val="both"/>
            </w:pPr>
            <w:r>
              <w:rPr>
                <w:rFonts w:ascii="仿宋_GB2312" w:hAnsi="仿宋_GB2312" w:cs="仿宋_GB2312" w:eastAsia="仿宋_GB2312"/>
                <w:sz w:val="21"/>
              </w:rPr>
              <w:t>《网络安全等级保护安全设计技术要求》（GB/T25070-2019）</w:t>
            </w:r>
          </w:p>
          <w:p>
            <w:pPr>
              <w:pStyle w:val="null3"/>
              <w:ind w:firstLine="556"/>
              <w:jc w:val="both"/>
            </w:pPr>
            <w:r>
              <w:rPr>
                <w:rFonts w:ascii="仿宋_GB2312" w:hAnsi="仿宋_GB2312" w:cs="仿宋_GB2312" w:eastAsia="仿宋_GB2312"/>
                <w:sz w:val="21"/>
              </w:rPr>
              <w:t>《水利网络安全保护技术规范》（SL/T803-2020）</w:t>
            </w:r>
          </w:p>
          <w:p>
            <w:pPr>
              <w:pStyle w:val="null3"/>
              <w:ind w:firstLine="556"/>
              <w:jc w:val="both"/>
            </w:pPr>
            <w:r>
              <w:rPr>
                <w:rFonts w:ascii="仿宋_GB2312" w:hAnsi="仿宋_GB2312" w:cs="仿宋_GB2312" w:eastAsia="仿宋_GB2312"/>
                <w:sz w:val="21"/>
              </w:rPr>
              <w:t>《网络安全等级保护定级指南》GB/T 22240-2020</w:t>
            </w:r>
          </w:p>
          <w:p>
            <w:pPr>
              <w:pStyle w:val="null3"/>
              <w:ind w:firstLine="556"/>
              <w:jc w:val="both"/>
            </w:pPr>
            <w:r>
              <w:rPr>
                <w:rFonts w:ascii="仿宋_GB2312" w:hAnsi="仿宋_GB2312" w:cs="仿宋_GB2312" w:eastAsia="仿宋_GB2312"/>
                <w:sz w:val="21"/>
              </w:rPr>
              <w:t>《水利一张图空间信息服务规范》SL/T 801-2020</w:t>
            </w:r>
          </w:p>
          <w:p>
            <w:pPr>
              <w:pStyle w:val="null3"/>
              <w:ind w:firstLine="556"/>
              <w:jc w:val="both"/>
            </w:pPr>
            <w:r>
              <w:rPr>
                <w:rFonts w:ascii="仿宋_GB2312" w:hAnsi="仿宋_GB2312" w:cs="仿宋_GB2312" w:eastAsia="仿宋_GB2312"/>
                <w:sz w:val="21"/>
              </w:rPr>
              <w:t>《水利数据目录服务规范》SL/T 799-2020</w:t>
            </w:r>
          </w:p>
          <w:p>
            <w:pPr>
              <w:pStyle w:val="null3"/>
              <w:ind w:firstLine="556"/>
              <w:jc w:val="both"/>
            </w:pPr>
            <w:r>
              <w:rPr>
                <w:rFonts w:ascii="仿宋_GB2312" w:hAnsi="仿宋_GB2312" w:cs="仿宋_GB2312" w:eastAsia="仿宋_GB2312"/>
                <w:sz w:val="21"/>
              </w:rPr>
              <w:t>等相关设计、规范、规定及技术标准。</w:t>
            </w:r>
          </w:p>
          <w:p>
            <w:pPr>
              <w:pStyle w:val="null3"/>
              <w:ind w:firstLine="556"/>
              <w:jc w:val="both"/>
            </w:pPr>
            <w:r>
              <w:rPr>
                <w:rFonts w:ascii="仿宋_GB2312" w:hAnsi="仿宋_GB2312" w:cs="仿宋_GB2312" w:eastAsia="仿宋_GB2312"/>
                <w:sz w:val="21"/>
              </w:rPr>
              <w:t>四、</w:t>
            </w:r>
            <w:r>
              <w:rPr>
                <w:rFonts w:ascii="仿宋_GB2312" w:hAnsi="仿宋_GB2312" w:cs="仿宋_GB2312" w:eastAsia="仿宋_GB2312"/>
                <w:sz w:val="21"/>
              </w:rPr>
              <w:t>主要成果递交</w:t>
            </w:r>
          </w:p>
          <w:p>
            <w:pPr>
              <w:pStyle w:val="null3"/>
              <w:ind w:firstLine="556"/>
              <w:jc w:val="both"/>
            </w:pPr>
            <w:r>
              <w:rPr>
                <w:rFonts w:ascii="仿宋_GB2312" w:hAnsi="仿宋_GB2312" w:cs="仿宋_GB2312" w:eastAsia="仿宋_GB2312"/>
                <w:sz w:val="21"/>
              </w:rPr>
              <w:t>编制完成陕西省水利工程调度管理中心实施方案及施工图。</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本项目有明确的项目负责人及团队组成要求，具体详见第五章 5.6.2评分标准。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供应商向采购人提交验收申请。2）采购人收到验收申请后组织验收，验收时供应商应予以配合并提供验收所需的全部资料，若供应商不配合或者未按合同要求提供服务的，采购人将拒绝验收。3）验收依据：国家、行业的标准和有关规定，招标文件、投标文件、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本项目实际服务期限以“陕西水利工程调度中心实施方案编制”合同为准。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证明文件并进行电子签章。2）供应商须提供近一年度经审计的财务会计报告（含附表附注），或开标前三个月内基本开户银行出具的资信证明，或信用担保机构出具的投标担保函（以上三种形式的资料提供任何一种即可) 。</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供应商须具备工程设计水利行业乙级（含乙级）以上资质，须提供有效的资质证书复印件。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（1）项目负责人须为本单位人员并提供相应证明材料复印件。（2）项目负责人须具有水利相关专业高级（含高级）以上技术职称，并提供有效的高级（含高级）以上技术职称证书复印件。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参加政府采购活动前三年内，在经营活动中没有重大违法记录书面声明并加盖公章。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授权委托书.docx 中小企业声明函 残疾人福利性单位声明函 标的清单 商务应答表.docx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应符合“第六章 投标文件格式”的要求</w:t>
            </w:r>
          </w:p>
        </w:tc>
        <w:tc>
          <w:tcPr>
            <w:tcW w:type="dxa" w:w="1661"/>
          </w:tcPr>
          <w:p>
            <w:pPr>
              <w:pStyle w:val="null3"/>
            </w:pPr>
            <w:r>
              <w:rPr>
                <w:rFonts w:ascii="仿宋_GB2312" w:hAnsi="仿宋_GB2312" w:cs="仿宋_GB2312" w:eastAsia="仿宋_GB2312"/>
              </w:rPr>
              <w:t>开标一览表 服务内容及服务邀请应答表 人员配备.docx 授权委托书.docx 中小企业声明函 商务应答表.docx 项目负责人.docx 投标人应提交的相关资格证明材料.docx 供应商认为有必要说明的事宜（如有）.docx 投标函 承揽的类似项目情况表.docx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报价唯一且未超出预算（最高限价）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报告编制结构框架及内容</w:t>
            </w:r>
          </w:p>
        </w:tc>
        <w:tc>
          <w:tcPr>
            <w:tcW w:type="dxa" w:w="2492"/>
          </w:tcPr>
          <w:p>
            <w:pPr>
              <w:pStyle w:val="null3"/>
            </w:pPr>
            <w:r>
              <w:rPr>
                <w:rFonts w:ascii="仿宋_GB2312" w:hAnsi="仿宋_GB2312" w:cs="仿宋_GB2312" w:eastAsia="仿宋_GB2312"/>
              </w:rPr>
              <w:t>供应商针对本项目报告编制结构框架及内容进行打分：供应商报告结构框架完整、编制内容全面，对评审内容中的各项要求有详细描述，切合本项目实际情况，提出步骤清晰、方案合理且具有针对性，方案能够紧扣项目实际情况，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工作进度计划及保证措施</w:t>
            </w:r>
          </w:p>
        </w:tc>
        <w:tc>
          <w:tcPr>
            <w:tcW w:type="dxa" w:w="2492"/>
          </w:tcPr>
          <w:p>
            <w:pPr>
              <w:pStyle w:val="null3"/>
            </w:pPr>
            <w:r>
              <w:rPr>
                <w:rFonts w:ascii="仿宋_GB2312" w:hAnsi="仿宋_GB2312" w:cs="仿宋_GB2312" w:eastAsia="仿宋_GB2312"/>
              </w:rPr>
              <w:t>根据供应商针对本项目工作进度计划及保证措施进行打分：工作进度计划及保证措施步骤节点清晰、切合项目实际。每项完全满足得4分，有缺陷或者不满足扣2分，缺项不得分。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根据供应商提供的针对本项目组织机构进行打分：组织机构健全、团队人员配备充分满足项目要求、专业配备齐全、职责分工明确。每项完全满足评审标准3分，有缺陷或者不满足扣1.5分，缺项不得分。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每配备1名水利类相关专业正高级工程师职称的得2分，每配备1名水利相关专业副高级技术职称的得1分。本项最多得6分。【注】以上同一人员不得重复计分，投标文件中须提供人员身份证、职称证、在职证明（证明人员与投标人具有劳动关系的证明材料，例如劳动合同或近三个月中任意一个月社保缴纳证明）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类似项目实施经验，每个得1分，最多得3分；【注】投标文件中须提供项目负责人身份证、职称证、在职证明（证明人员与投标人具有劳动关系的证明材料，例如劳动合同及工资发放记录或近三个月中任意一个月社保缴纳证明）复印件，并加盖单位公章。②项目负责人类似业绩须提供中标/成交通知书、合同或业主盖章的证明材料中的任意一种，证明材料中应载明项目负责人姓名，且在项目中担任项目负责人或技术负责人职务。</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近年具有类似项目业绩，每具有一个得3分，最高得9分。 注：应附合同协议书或中标（成交）通知书或立项文件或成果文件（如论文、课题、专利等）复印件。类似项目指：2022年5月1日至投标截止日前，承揽过类似信息化项目方案编制。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承揽的类似项目情况表.docx</w:t>
            </w:r>
          </w:p>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经资格审查、符合性审查合格的投标文件，其投标报价为有效投标报价，对符合政策性扣减的供应商的有效投标价格进行政策性扣减，并依据扣减后的价格（评审价格）进行价格评审。 满足招标文件要求且投标报价最低的为评标基准价，其价格分为满分。价格分按照下列公式计算。 报价得分=（评标基准价/有效报价）×价格权重×100 符合招标文件规定的小微企业或监狱企业或残疾人福利性单位优惠条件的供应商，价格给予10%的扣除，用扣除后的价格参与评审。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详见附件：供应商认为有必要说明的事宜（如有）.docx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