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版本号：SXSJHT2026-11120260707001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2026-2027年度校园责任险采购项目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SXSJHT2026-111</w:t>
      </w:r>
      <w:r>
        <w:br/>
      </w:r>
      <w:r>
        <w:br/>
      </w:r>
      <w:r>
        <w:br/>
      </w:r>
    </w:p>
    <w:p>
      <w:pPr>
        <w:pStyle w:val="null3"/>
        <w:jc w:val="center"/>
        <w:outlineLvl w:val="2"/>
      </w:pPr>
      <w:r>
        <w:rPr>
          <w:rFonts w:ascii="仿宋_GB2312" w:hAnsi="仿宋_GB2312" w:cs="仿宋_GB2312" w:eastAsia="仿宋_GB2312"/>
          <w:sz w:val="28"/>
          <w:b/>
        </w:rPr>
        <w:t>西安市莲湖区教育局</w:t>
      </w:r>
    </w:p>
    <w:p>
      <w:pPr>
        <w:pStyle w:val="null3"/>
        <w:jc w:val="center"/>
        <w:outlineLvl w:val="2"/>
      </w:pPr>
      <w:r>
        <w:rPr>
          <w:rFonts w:ascii="仿宋_GB2312" w:hAnsi="仿宋_GB2312" w:cs="仿宋_GB2312" w:eastAsia="仿宋_GB2312"/>
          <w:sz w:val="28"/>
          <w:b/>
        </w:rPr>
        <w:t>陕西盛世嘉和招标有限公司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陕西盛世嘉和招标有限公司</w:t>
      </w:r>
      <w:r>
        <w:rPr>
          <w:rFonts w:ascii="仿宋_GB2312" w:hAnsi="仿宋_GB2312" w:cs="仿宋_GB2312" w:eastAsia="仿宋_GB2312"/>
        </w:rPr>
        <w:t>（以下简称“代理机构”）受</w:t>
      </w:r>
      <w:r>
        <w:rPr>
          <w:rFonts w:ascii="仿宋_GB2312" w:hAnsi="仿宋_GB2312" w:cs="仿宋_GB2312" w:eastAsia="仿宋_GB2312"/>
        </w:rPr>
        <w:t>西安市莲湖区教育局</w:t>
      </w:r>
      <w:r>
        <w:rPr>
          <w:rFonts w:ascii="仿宋_GB2312" w:hAnsi="仿宋_GB2312" w:cs="仿宋_GB2312" w:eastAsia="仿宋_GB2312"/>
        </w:rPr>
        <w:t>委托，拟对</w:t>
      </w:r>
      <w:r>
        <w:rPr>
          <w:rFonts w:ascii="仿宋_GB2312" w:hAnsi="仿宋_GB2312" w:cs="仿宋_GB2312" w:eastAsia="仿宋_GB2312"/>
        </w:rPr>
        <w:t>2026-2027年度校园责任险采购项目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SXSJHT2026-111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2026-2027年度校园责任险采购项目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2026-2027年度校园责任险采购项目，1项，具体详见第三章。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财务审计报告或其磋商前三个月内基本存款账户开户银行出具的资信证明及基本存款账户开户许可证（基本存款账户信息）；（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5、书面声明：出具参加本次采购活动前三年内在经营活动中没有重大违法记录的书面声明。</w:t>
      </w:r>
    </w:p>
    <w:p>
      <w:pPr>
        <w:pStyle w:val="null3"/>
      </w:pPr>
      <w:r>
        <w:rPr>
          <w:rFonts w:ascii="仿宋_GB2312" w:hAnsi="仿宋_GB2312" w:cs="仿宋_GB2312" w:eastAsia="仿宋_GB2312"/>
        </w:rPr>
        <w:t>6、履行合同所必需的设备和专业技术能力：提供具有履行合同所必需的设备和专业技术能力的承诺。</w:t>
      </w:r>
    </w:p>
    <w:p>
      <w:pPr>
        <w:pStyle w:val="null3"/>
      </w:pPr>
      <w:r>
        <w:rPr>
          <w:rFonts w:ascii="仿宋_GB2312" w:hAnsi="仿宋_GB2312" w:cs="仿宋_GB2312" w:eastAsia="仿宋_GB2312"/>
        </w:rPr>
        <w:t>7、法定代表人（单位负责人）授权书/法定代表人（单位负责人）身份证明：法定代表人（单位负责人）参加磋商的，须提供本人身份证明及身份证复印件；法定代表人（单位负责人）授权他人参加磋商的，提供法定代表人（单位负责人）委托授权书、被授权代表的身份证复印件及被授权人近三个月内任意一个月在本单位的社会保障资金缴纳证明。</w:t>
      </w:r>
    </w:p>
    <w:p>
      <w:pPr>
        <w:pStyle w:val="null3"/>
      </w:pPr>
      <w:r>
        <w:rPr>
          <w:rFonts w:ascii="仿宋_GB2312" w:hAnsi="仿宋_GB2312" w:cs="仿宋_GB2312" w:eastAsia="仿宋_GB2312"/>
        </w:rPr>
        <w:t>8、供应商资质：供应商须具有相关主管机构颁发的《保险许可证》或《金融许可证》（同一保险机构只允许其总公司或一家分支机构参与磋商）。</w:t>
      </w:r>
    </w:p>
    <w:p>
      <w:pPr>
        <w:pStyle w:val="null3"/>
      </w:pPr>
      <w:r>
        <w:rPr>
          <w:rFonts w:ascii="仿宋_GB2312" w:hAnsi="仿宋_GB2312" w:cs="仿宋_GB2312" w:eastAsia="仿宋_GB2312"/>
        </w:rPr>
        <w:t>9、信用信息：供应商不得为“信用中国”网站(http://www.creditchina.gov.c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10、控股及管理关系：单位负责人为同一人或者存在直接控股、管理关系的不同供应商，不得参加同一合同项下的政府采购活动。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029-81613255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陕西盛世嘉和招标有限公司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西安市高新区团结南路12号西安国际人才大厦A座15楼1503室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毛梦华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029-88601068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代理服务费收费标准：1.招标代理服务费由中标（成交）供应商缴纳，中标（成交）供应商在领取中标（成交）通知书前，须向采购代理机构支付代理服务费。 2.代理服务费收取参考国家计委颁布的《招标代理服务收费管理暂行办法》（计价格[2002]1980号）和（发改办价格[2003]857号）文收费标准计取。 3.代理服务费交纳信息 银行户名：陕西盛世嘉和招标有限公司 帐 号：72040078801400000854 开 户 行：上海浦东发展银行股份有限公司西安高新开发区支行 联 系 人：财务 联系电话：029-88601068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西安市莲湖区教育局</w:t>
      </w:r>
      <w:r>
        <w:rPr>
          <w:rFonts w:ascii="仿宋_GB2312" w:hAnsi="仿宋_GB2312" w:cs="仿宋_GB2312" w:eastAsia="仿宋_GB2312"/>
        </w:rPr>
        <w:t>和</w:t>
      </w:r>
      <w:r>
        <w:rPr>
          <w:rFonts w:ascii="仿宋_GB2312" w:hAnsi="仿宋_GB2312" w:cs="仿宋_GB2312" w:eastAsia="仿宋_GB2312"/>
        </w:rPr>
        <w:t>陕西盛世嘉和招标有限公司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陕西盛世嘉和招标有限公司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陕西盛世嘉和招标有限公司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陕西盛世嘉和招标有限公司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陕西盛世嘉和招标有限公司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陕西盛世嘉和招标有限公司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联系人：毛工</w:t>
      </w:r>
    </w:p>
    <w:p>
      <w:pPr>
        <w:pStyle w:val="null3"/>
      </w:pPr>
      <w:r>
        <w:rPr>
          <w:rFonts w:ascii="仿宋_GB2312" w:hAnsi="仿宋_GB2312" w:cs="仿宋_GB2312" w:eastAsia="仿宋_GB2312"/>
        </w:rPr>
        <w:t>联系电话：029-88601068</w:t>
      </w:r>
    </w:p>
    <w:p>
      <w:pPr>
        <w:pStyle w:val="null3"/>
      </w:pPr>
      <w:r>
        <w:rPr>
          <w:rFonts w:ascii="仿宋_GB2312" w:hAnsi="仿宋_GB2312" w:cs="仿宋_GB2312" w:eastAsia="仿宋_GB2312"/>
        </w:rPr>
        <w:t>地址：西安市高新区团结南路12号西安国际人才大厦A座15楼1503室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西安市莲湖区教育局2026-2027年度校园责任险采购项目，为全区区属71所公办校园约为93000名学生（人数暂定）办理校方责任保险。具体详见磋商文件。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校园责任险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标的名称：校园责任险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西安市莲湖区教育局2026-2027年度校园责任险采购项目，为全区区属71所公办校园约为93000名学生（人数暂定）办理校方责任保险。</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保险内容：校方责任险（包含文体运动综合责任/研学旅行责任保险）每生每学年保费8元，附加无过失责任险每生每学年2元。为使校方责任险在处理校园意外伤害事故时，最大限度地转移学校办学风险，保障校园正常教育教学秩序。</w:t>
            </w:r>
          </w:p>
          <w:p>
            <w:pPr>
              <w:pStyle w:val="null3"/>
            </w:pPr>
            <w:r>
              <w:rPr>
                <w:rFonts w:ascii="仿宋_GB2312" w:hAnsi="仿宋_GB2312" w:cs="仿宋_GB2312" w:eastAsia="仿宋_GB2312"/>
              </w:rPr>
              <w:t>2、服务期限：1年。</w:t>
            </w:r>
          </w:p>
          <w:p>
            <w:pPr>
              <w:pStyle w:val="null3"/>
            </w:pPr>
            <w:r>
              <w:rPr>
                <w:rFonts w:ascii="仿宋_GB2312" w:hAnsi="仿宋_GB2312" w:cs="仿宋_GB2312" w:eastAsia="仿宋_GB2312"/>
              </w:rPr>
              <w:t>3、保费：保费一次缴纳，以投保时实际统计学生人数计算。</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1、承保服务</w:t>
            </w:r>
          </w:p>
          <w:p>
            <w:pPr>
              <w:pStyle w:val="null3"/>
            </w:pPr>
            <w:r>
              <w:rPr>
                <w:rFonts w:ascii="仿宋_GB2312" w:hAnsi="仿宋_GB2312" w:cs="仿宋_GB2312" w:eastAsia="仿宋_GB2312"/>
              </w:rPr>
              <w:t>（1）协助教育行政部门做好投保学校的各项承保工作。</w:t>
            </w:r>
          </w:p>
          <w:p>
            <w:pPr>
              <w:pStyle w:val="null3"/>
            </w:pPr>
            <w:r>
              <w:rPr>
                <w:rFonts w:ascii="仿宋_GB2312" w:hAnsi="仿宋_GB2312" w:cs="仿宋_GB2312" w:eastAsia="仿宋_GB2312"/>
              </w:rPr>
              <w:t>（2）协助教育行政部门做好对被保险学校的宣传和培训工作。</w:t>
            </w:r>
          </w:p>
          <w:p>
            <w:pPr>
              <w:pStyle w:val="null3"/>
            </w:pPr>
            <w:r>
              <w:rPr>
                <w:rFonts w:ascii="仿宋_GB2312" w:hAnsi="仿宋_GB2312" w:cs="仿宋_GB2312" w:eastAsia="仿宋_GB2312"/>
              </w:rPr>
              <w:t>（3）自收到被保险学校投保材料后5个工作日内出具正式保险单和发票。</w:t>
            </w:r>
          </w:p>
          <w:p>
            <w:pPr>
              <w:pStyle w:val="null3"/>
            </w:pPr>
            <w:r>
              <w:rPr>
                <w:rFonts w:ascii="仿宋_GB2312" w:hAnsi="仿宋_GB2312" w:cs="仿宋_GB2312" w:eastAsia="仿宋_GB2312"/>
              </w:rPr>
              <w:t>（4）被保险学校有人员变动、名称或地址变更、合并、注销、分立、设立分校等事宜时，承保公司做好上述事项的保全服务工作，并在接到学校批改申请材料的5个工作日内出具批单和发票。全区被保险学校人数增加不超过5%的，不另外收取保费。</w:t>
            </w:r>
          </w:p>
          <w:p>
            <w:pPr>
              <w:pStyle w:val="null3"/>
            </w:pPr>
            <w:r>
              <w:rPr>
                <w:rFonts w:ascii="仿宋_GB2312" w:hAnsi="仿宋_GB2312" w:cs="仿宋_GB2312" w:eastAsia="仿宋_GB2312"/>
              </w:rPr>
              <w:t>2、理赔服务</w:t>
            </w:r>
          </w:p>
          <w:p>
            <w:pPr>
              <w:pStyle w:val="null3"/>
            </w:pPr>
            <w:r>
              <w:rPr>
                <w:rFonts w:ascii="仿宋_GB2312" w:hAnsi="仿宋_GB2312" w:cs="仿宋_GB2312" w:eastAsia="仿宋_GB2312"/>
              </w:rPr>
              <w:t>（1）承保公司应当成立专门的校方责任保险理赔服务机构，由有经验的专业理赔人员负责理赔服务工作，并配备相应的办公设备。</w:t>
            </w:r>
          </w:p>
          <w:p>
            <w:pPr>
              <w:pStyle w:val="null3"/>
            </w:pPr>
            <w:r>
              <w:rPr>
                <w:rFonts w:ascii="仿宋_GB2312" w:hAnsi="仿宋_GB2312" w:cs="仿宋_GB2312" w:eastAsia="仿宋_GB2312"/>
              </w:rPr>
              <w:t>（2）设立热线电话，负责受理校方责任保险的事故报案、咨询、疑难解答和投诉处理，对于事故报案和客户投诉，承保公司应当在5个工作日内就重要事项作出明确答复。</w:t>
            </w:r>
          </w:p>
          <w:p>
            <w:pPr>
              <w:pStyle w:val="null3"/>
            </w:pPr>
            <w:r>
              <w:rPr>
                <w:rFonts w:ascii="仿宋_GB2312" w:hAnsi="仿宋_GB2312" w:cs="仿宋_GB2312" w:eastAsia="仿宋_GB2312"/>
              </w:rPr>
              <w:t>（3）对收到的索赔材料进行审核，并在3个工作日内向被保险人反馈是否立案以及是否需要补充提供证明材料，对决定拒赔或者不予立案的，出具正式的书面意见。对索赔材料齐全的校方责任保险案件，在立案后的5个工作日内开具赔款通知书；对重大疑难案件应在立案后不超过25个工作日内结案。</w:t>
            </w:r>
          </w:p>
          <w:p>
            <w:pPr>
              <w:pStyle w:val="null3"/>
            </w:pPr>
            <w:r>
              <w:rPr>
                <w:rFonts w:ascii="仿宋_GB2312" w:hAnsi="仿宋_GB2312" w:cs="仿宋_GB2312" w:eastAsia="仿宋_GB2312"/>
              </w:rPr>
              <w:t>（4）承保公司与被保险学校达成赔偿或者给付协议，并且已经确定赔偿金额的，1000元以下的案件2个工作日内赔付结案；3000元以下的案件3个工作日内结案；5000元以下的案件5个工作日内结案。</w:t>
            </w:r>
          </w:p>
          <w:p>
            <w:pPr>
              <w:pStyle w:val="null3"/>
            </w:pPr>
            <w:r>
              <w:rPr>
                <w:rFonts w:ascii="仿宋_GB2312" w:hAnsi="仿宋_GB2312" w:cs="仿宋_GB2312" w:eastAsia="仿宋_GB2312"/>
              </w:rPr>
              <w:t>（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pPr>
            <w:r>
              <w:rPr>
                <w:rFonts w:ascii="仿宋_GB2312" w:hAnsi="仿宋_GB2312" w:cs="仿宋_GB2312" w:eastAsia="仿宋_GB2312"/>
              </w:rPr>
              <w:t>（6）通融赔付机制：对于承保公司已经认定不属于保险责任的事故，如莲湖区教育局提出处理意见，承保公司将由校方责任保险重大事故协调小组讨论，积极配合莲湖区教育局的工作，充分采纳莲湖区教育局对学生伤害事故的定责、定损及处理意见，在3个工作日内予以赔付，减轻学校压力，避免纠纷。</w:t>
            </w:r>
          </w:p>
          <w:p>
            <w:pPr>
              <w:pStyle w:val="null3"/>
            </w:pPr>
            <w:r>
              <w:rPr>
                <w:rFonts w:ascii="仿宋_GB2312" w:hAnsi="仿宋_GB2312" w:cs="仿宋_GB2312" w:eastAsia="仿宋_GB2312"/>
              </w:rPr>
              <w:t>（7）认同法院裁决书或裁定书作为理赔依据：在理赔过程中，双方充分尊重法律权威，认同由具有合法管辖权的机构（如法院）出具的裁决书或裁定书作为理赔的重要依据。若裁决书或裁定书明确了事故责任或赔偿金额，承保公司将依据其内容进行赔付，确保理赔过程的公正、合法与高效。</w:t>
            </w:r>
          </w:p>
          <w:p>
            <w:pPr>
              <w:pStyle w:val="null3"/>
            </w:pPr>
            <w:r>
              <w:rPr>
                <w:rFonts w:ascii="仿宋_GB2312" w:hAnsi="仿宋_GB2312" w:cs="仿宋_GB2312" w:eastAsia="仿宋_GB2312"/>
              </w:rPr>
              <w:t>3、法律援助服务</w:t>
            </w:r>
          </w:p>
          <w:p>
            <w:pPr>
              <w:pStyle w:val="null3"/>
            </w:pPr>
            <w:r>
              <w:rPr>
                <w:rFonts w:ascii="仿宋_GB2312" w:hAnsi="仿宋_GB2312" w:cs="仿宋_GB2312" w:eastAsia="仿宋_GB2312"/>
              </w:rPr>
              <w:t>（1）承保公司应当成立专门的法律服务小组，在发生学生人身伤害事故时，协助学校妥善处理善后事宜，对学校提供法律和保险方面的指导，尽最大可能减少学校的经济损失。</w:t>
            </w:r>
          </w:p>
          <w:p>
            <w:pPr>
              <w:pStyle w:val="null3"/>
            </w:pPr>
            <w:r>
              <w:rPr>
                <w:rFonts w:ascii="仿宋_GB2312" w:hAnsi="仿宋_GB2312" w:cs="仿宋_GB2312" w:eastAsia="仿宋_GB2312"/>
              </w:rPr>
              <w:t>（2）学校与学生家长就学生人身伤害事故赔偿问题产生纠纷时，承保公司必须为学校提供法律援助，指派专人负责协助协调学校和家长的矛盾。</w:t>
            </w:r>
          </w:p>
          <w:p>
            <w:pPr>
              <w:pStyle w:val="null3"/>
            </w:pPr>
            <w:r>
              <w:rPr>
                <w:rFonts w:ascii="仿宋_GB2312" w:hAnsi="仿宋_GB2312" w:cs="仿宋_GB2312" w:eastAsia="仿宋_GB2312"/>
              </w:rPr>
              <w:t>（3）学校与学生家长无法就赔偿问题达成一致意见而诉诸法律时，承保公司必须无偿为学校提供诉讼代理服务。</w:t>
            </w:r>
          </w:p>
          <w:p>
            <w:pPr>
              <w:pStyle w:val="null3"/>
            </w:pPr>
            <w:r>
              <w:rPr>
                <w:rFonts w:ascii="仿宋_GB2312" w:hAnsi="仿宋_GB2312" w:cs="仿宋_GB2312" w:eastAsia="仿宋_GB2312"/>
              </w:rPr>
              <w:t>（4）学校与学生家长诉诸法律解决纠纷时，如教育部门已为学校安排代理律师或者学校经教育行政部门同意自行聘请律师，承保公司应充分认可诉讼结论。</w:t>
            </w:r>
          </w:p>
          <w:p>
            <w:pPr>
              <w:pStyle w:val="null3"/>
            </w:pPr>
            <w:r>
              <w:rPr>
                <w:rFonts w:ascii="仿宋_GB2312" w:hAnsi="仿宋_GB2312" w:cs="仿宋_GB2312" w:eastAsia="仿宋_GB2312"/>
              </w:rPr>
              <w:t>4、增值服务</w:t>
            </w:r>
          </w:p>
          <w:p>
            <w:pPr>
              <w:pStyle w:val="null3"/>
            </w:pPr>
            <w:r>
              <w:rPr>
                <w:rFonts w:ascii="仿宋_GB2312" w:hAnsi="仿宋_GB2312" w:cs="仿宋_GB2312" w:eastAsia="仿宋_GB2312"/>
              </w:rPr>
              <w:t>（1）协助教育行政部门对被保险学校进行安全教育和风险管理以及防灾防损培训。</w:t>
            </w:r>
          </w:p>
          <w:p>
            <w:pPr>
              <w:pStyle w:val="null3"/>
            </w:pPr>
            <w:r>
              <w:rPr>
                <w:rFonts w:ascii="仿宋_GB2312" w:hAnsi="仿宋_GB2312" w:cs="仿宋_GB2312" w:eastAsia="仿宋_GB2312"/>
              </w:rPr>
              <w:t>（2）协助教育行政部门对被保险学校举办体育比赛、运动会、汇报演出等大型活动时的安全防范工作，提供必要的技术支持，并为活动安排保险方案。</w:t>
            </w:r>
          </w:p>
          <w:p>
            <w:pPr>
              <w:pStyle w:val="null3"/>
            </w:pPr>
            <w:r>
              <w:rPr>
                <w:rFonts w:ascii="仿宋_GB2312" w:hAnsi="仿宋_GB2312" w:cs="仿宋_GB2312" w:eastAsia="仿宋_GB2312"/>
              </w:rPr>
              <w:t>（3）定期向西安市莲湖区教育局报告工作情况和提供风险管理方案。</w:t>
            </w:r>
          </w:p>
          <w:p>
            <w:pPr>
              <w:pStyle w:val="null3"/>
            </w:pPr>
            <w:r>
              <w:rPr>
                <w:rFonts w:ascii="仿宋_GB2312" w:hAnsi="仿宋_GB2312" w:cs="仿宋_GB2312" w:eastAsia="仿宋_GB2312"/>
              </w:rPr>
              <w:t>5、特色服务</w:t>
            </w:r>
          </w:p>
          <w:p>
            <w:pPr>
              <w:pStyle w:val="null3"/>
            </w:pPr>
            <w:r>
              <w:rPr>
                <w:rFonts w:ascii="仿宋_GB2312" w:hAnsi="仿宋_GB2312" w:cs="仿宋_GB2312" w:eastAsia="仿宋_GB2312"/>
              </w:rPr>
              <w:t>为了能够体现校方责任保险服务于西安市教育行业的特点，供应商应充分了解西安市教育行业的现状及风险状况，并在基础服务项目上增加其他服务内容。</w:t>
            </w:r>
          </w:p>
          <w:p>
            <w:pPr>
              <w:pStyle w:val="null3"/>
            </w:pPr>
            <w:r>
              <w:rPr>
                <w:rFonts w:ascii="仿宋_GB2312" w:hAnsi="仿宋_GB2312" w:cs="仿宋_GB2312" w:eastAsia="仿宋_GB2312"/>
              </w:rPr>
              <w:t>6、赔偿范围与项目</w:t>
            </w:r>
          </w:p>
          <w:p>
            <w:pPr>
              <w:pStyle w:val="null3"/>
            </w:pPr>
            <w:r>
              <w:rPr>
                <w:rFonts w:ascii="仿宋_GB2312" w:hAnsi="仿宋_GB2312" w:cs="仿宋_GB2312" w:eastAsia="仿宋_GB2312"/>
              </w:rPr>
              <w:t>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p>
            <w:pPr>
              <w:pStyle w:val="null3"/>
              <w:outlineLvl w:val="1"/>
            </w:pPr>
            <w:r>
              <w:rPr>
                <w:rFonts w:ascii="仿宋_GB2312" w:hAnsi="仿宋_GB2312" w:cs="仿宋_GB2312" w:eastAsia="仿宋_GB2312"/>
                <w:sz w:val="36"/>
                <w:b/>
              </w:rPr>
              <w:t xml:space="preserve"> </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赔偿范围</w:t>
                  </w:r>
                </w:p>
              </w:tc>
              <w:tc>
                <w:tcPr>
                  <w:tcW w:type="dxa" w:w="851"/>
                </w:tcPr>
                <w:p>
                  <w:pPr>
                    <w:pStyle w:val="null3"/>
                  </w:pPr>
                  <w:r>
                    <w:rPr>
                      <w:rFonts w:ascii="仿宋_GB2312" w:hAnsi="仿宋_GB2312" w:cs="仿宋_GB2312" w:eastAsia="仿宋_GB2312"/>
                    </w:rPr>
                    <w:t>赔偿项目与计算依据</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医疗费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住院伙食补助费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营养费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监护人误工费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护理费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交通费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残疾用具费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残疾等级鉴定费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伤残赔偿金</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丧葬费</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死亡赔偿金</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法律费用</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施救费用</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保险公司认为补充响应的其他赔偿范围</w:t>
                  </w:r>
                </w:p>
              </w:tc>
              <w:tc>
                <w:tcPr>
                  <w:tcW w:type="dxa" w:w="85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7、基本保险责任范围</w:t>
            </w:r>
          </w:p>
          <w:p>
            <w:pPr>
              <w:pStyle w:val="null3"/>
            </w:pPr>
            <w:r>
              <w:rPr>
                <w:rFonts w:ascii="仿宋_GB2312" w:hAnsi="仿宋_GB2312" w:cs="仿宋_GB2312" w:eastAsia="仿宋_GB2312"/>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内   容</w:t>
                  </w:r>
                </w:p>
              </w:tc>
            </w:tr>
            <w:tr>
              <w:tc>
                <w:tcPr>
                  <w:tcW w:type="dxa" w:w="1276"/>
                </w:tcPr>
                <w:p>
                  <w:pPr>
                    <w:pStyle w:val="null3"/>
                  </w:pPr>
                  <w:r>
                    <w:rPr>
                      <w:rFonts w:ascii="仿宋_GB2312" w:hAnsi="仿宋_GB2312" w:cs="仿宋_GB2312" w:eastAsia="仿宋_GB2312"/>
                    </w:rPr>
                    <w:t>（一）</w:t>
                  </w:r>
                </w:p>
              </w:tc>
              <w:tc>
                <w:tcPr>
                  <w:tcW w:type="dxa" w:w="1276"/>
                </w:tcPr>
                <w:p>
                  <w:pPr>
                    <w:pStyle w:val="null3"/>
                  </w:pPr>
                  <w:r>
                    <w:rPr>
                      <w:rFonts w:ascii="仿宋_GB2312" w:hAnsi="仿宋_GB2312" w:cs="仿宋_GB2312" w:eastAsia="仿宋_GB2312"/>
                    </w:rPr>
                    <w:t>学校的校舍、场地、其他公共设施，以及学校提供给学生使用的学具、教育教学和生活设施、设备不符合国家规定的标准，或者有明显不安全因素的</w:t>
                  </w:r>
                </w:p>
              </w:tc>
            </w:tr>
            <w:tr>
              <w:tc>
                <w:tcPr>
                  <w:tcW w:type="dxa" w:w="1276"/>
                </w:tcPr>
                <w:p>
                  <w:pPr>
                    <w:pStyle w:val="null3"/>
                  </w:pPr>
                  <w:r>
                    <w:rPr>
                      <w:rFonts w:ascii="仿宋_GB2312" w:hAnsi="仿宋_GB2312" w:cs="仿宋_GB2312" w:eastAsia="仿宋_GB2312"/>
                    </w:rPr>
                    <w:t>（二）</w:t>
                  </w:r>
                </w:p>
              </w:tc>
              <w:tc>
                <w:tcPr>
                  <w:tcW w:type="dxa" w:w="1276"/>
                </w:tcPr>
                <w:p>
                  <w:pPr>
                    <w:pStyle w:val="null3"/>
                  </w:pPr>
                  <w:r>
                    <w:rPr>
                      <w:rFonts w:ascii="仿宋_GB2312" w:hAnsi="仿宋_GB2312" w:cs="仿宋_GB2312" w:eastAsia="仿宋_GB2312"/>
                    </w:rPr>
                    <w:t>学校的安全保卫、消防、设施设备管理等安全管理制度有明显疏漏，或者管理混乱，存在重大安全隐患，而未及时采取措施的</w:t>
                  </w:r>
                </w:p>
              </w:tc>
            </w:tr>
            <w:tr>
              <w:tc>
                <w:tcPr>
                  <w:tcW w:type="dxa" w:w="1276"/>
                </w:tcPr>
                <w:p>
                  <w:pPr>
                    <w:pStyle w:val="null3"/>
                  </w:pPr>
                  <w:r>
                    <w:rPr>
                      <w:rFonts w:ascii="仿宋_GB2312" w:hAnsi="仿宋_GB2312" w:cs="仿宋_GB2312" w:eastAsia="仿宋_GB2312"/>
                    </w:rPr>
                    <w:t>（三）</w:t>
                  </w:r>
                </w:p>
              </w:tc>
              <w:tc>
                <w:tcPr>
                  <w:tcW w:type="dxa" w:w="1276"/>
                </w:tcPr>
                <w:p>
                  <w:pPr>
                    <w:pStyle w:val="null3"/>
                  </w:pPr>
                  <w:r>
                    <w:rPr>
                      <w:rFonts w:ascii="仿宋_GB2312" w:hAnsi="仿宋_GB2312" w:cs="仿宋_GB2312" w:eastAsia="仿宋_GB2312"/>
                    </w:rPr>
                    <w:t>学校向学生提供的药品、食品、饮用水等不符合国家或者行业的有关标准、要求的</w:t>
                  </w:r>
                </w:p>
              </w:tc>
            </w:tr>
            <w:tr>
              <w:tc>
                <w:tcPr>
                  <w:tcW w:type="dxa" w:w="1276"/>
                </w:tcPr>
                <w:p>
                  <w:pPr>
                    <w:pStyle w:val="null3"/>
                  </w:pPr>
                  <w:r>
                    <w:rPr>
                      <w:rFonts w:ascii="仿宋_GB2312" w:hAnsi="仿宋_GB2312" w:cs="仿宋_GB2312" w:eastAsia="仿宋_GB2312"/>
                    </w:rPr>
                    <w:t>（四）</w:t>
                  </w:r>
                </w:p>
              </w:tc>
              <w:tc>
                <w:tcPr>
                  <w:tcW w:type="dxa" w:w="1276"/>
                </w:tcPr>
                <w:p>
                  <w:pPr>
                    <w:pStyle w:val="null3"/>
                  </w:pPr>
                  <w:r>
                    <w:rPr>
                      <w:rFonts w:ascii="仿宋_GB2312" w:hAnsi="仿宋_GB2312" w:cs="仿宋_GB2312" w:eastAsia="仿宋_GB2312"/>
                    </w:rPr>
                    <w:t>学校组织学生参加教育教学活动或者校外活动，未对学生进行相应的安全教育，并未在可预见的范围内采取必要的安全措施的</w:t>
                  </w:r>
                </w:p>
              </w:tc>
            </w:tr>
            <w:tr>
              <w:tc>
                <w:tcPr>
                  <w:tcW w:type="dxa" w:w="1276"/>
                </w:tcPr>
                <w:p>
                  <w:pPr>
                    <w:pStyle w:val="null3"/>
                  </w:pPr>
                  <w:r>
                    <w:rPr>
                      <w:rFonts w:ascii="仿宋_GB2312" w:hAnsi="仿宋_GB2312" w:cs="仿宋_GB2312" w:eastAsia="仿宋_GB2312"/>
                    </w:rPr>
                    <w:t>（五）</w:t>
                  </w:r>
                </w:p>
              </w:tc>
              <w:tc>
                <w:tcPr>
                  <w:tcW w:type="dxa" w:w="1276"/>
                </w:tcPr>
                <w:p>
                  <w:pPr>
                    <w:pStyle w:val="null3"/>
                  </w:pPr>
                  <w:r>
                    <w:rPr>
                      <w:rFonts w:ascii="仿宋_GB2312" w:hAnsi="仿宋_GB2312" w:cs="仿宋_GB2312" w:eastAsia="仿宋_GB2312"/>
                    </w:rPr>
                    <w:t>学校知道教师或者其他工作人员患有不适宜担任教育教学工作的疾病，但未采取必要措施的</w:t>
                  </w:r>
                </w:p>
              </w:tc>
            </w:tr>
            <w:tr>
              <w:tc>
                <w:tcPr>
                  <w:tcW w:type="dxa" w:w="1276"/>
                </w:tcPr>
                <w:p>
                  <w:pPr>
                    <w:pStyle w:val="null3"/>
                  </w:pPr>
                  <w:r>
                    <w:rPr>
                      <w:rFonts w:ascii="仿宋_GB2312" w:hAnsi="仿宋_GB2312" w:cs="仿宋_GB2312" w:eastAsia="仿宋_GB2312"/>
                    </w:rPr>
                    <w:t>（六）</w:t>
                  </w:r>
                </w:p>
              </w:tc>
              <w:tc>
                <w:tcPr>
                  <w:tcW w:type="dxa" w:w="1276"/>
                </w:tcPr>
                <w:p>
                  <w:pPr>
                    <w:pStyle w:val="null3"/>
                  </w:pPr>
                  <w:r>
                    <w:rPr>
                      <w:rFonts w:ascii="仿宋_GB2312" w:hAnsi="仿宋_GB2312" w:cs="仿宋_GB2312" w:eastAsia="仿宋_GB2312"/>
                    </w:rPr>
                    <w:t>学校组织安排的实习、劳动、体育运动等体力活动，超出学生一般生理承受能力的</w:t>
                  </w:r>
                </w:p>
              </w:tc>
            </w:tr>
            <w:tr>
              <w:tc>
                <w:tcPr>
                  <w:tcW w:type="dxa" w:w="1276"/>
                </w:tcPr>
                <w:p>
                  <w:pPr>
                    <w:pStyle w:val="null3"/>
                  </w:pPr>
                  <w:r>
                    <w:rPr>
                      <w:rFonts w:ascii="仿宋_GB2312" w:hAnsi="仿宋_GB2312" w:cs="仿宋_GB2312" w:eastAsia="仿宋_GB2312"/>
                    </w:rPr>
                    <w:t>（七）</w:t>
                  </w:r>
                </w:p>
              </w:tc>
              <w:tc>
                <w:tcPr>
                  <w:tcW w:type="dxa" w:w="1276"/>
                </w:tcPr>
                <w:p>
                  <w:pPr>
                    <w:pStyle w:val="null3"/>
                  </w:pPr>
                  <w:r>
                    <w:rPr>
                      <w:rFonts w:ascii="仿宋_GB2312" w:hAnsi="仿宋_GB2312" w:cs="仿宋_GB2312" w:eastAsia="仿宋_GB2312"/>
                    </w:rPr>
                    <w:t>学生有特异体质或者特定疾病，不宜参加某种教育教学活动，学校知道或者应当知道，但未予以必要的注意的</w:t>
                  </w:r>
                </w:p>
              </w:tc>
            </w:tr>
            <w:tr>
              <w:tc>
                <w:tcPr>
                  <w:tcW w:type="dxa" w:w="1276"/>
                </w:tcPr>
                <w:p>
                  <w:pPr>
                    <w:pStyle w:val="null3"/>
                  </w:pPr>
                  <w:r>
                    <w:rPr>
                      <w:rFonts w:ascii="仿宋_GB2312" w:hAnsi="仿宋_GB2312" w:cs="仿宋_GB2312" w:eastAsia="仿宋_GB2312"/>
                    </w:rPr>
                    <w:t>（八）</w:t>
                  </w:r>
                </w:p>
              </w:tc>
              <w:tc>
                <w:tcPr>
                  <w:tcW w:type="dxa" w:w="1276"/>
                </w:tcPr>
                <w:p>
                  <w:pPr>
                    <w:pStyle w:val="null3"/>
                  </w:pPr>
                  <w:r>
                    <w:rPr>
                      <w:rFonts w:ascii="仿宋_GB2312" w:hAnsi="仿宋_GB2312" w:cs="仿宋_GB2312" w:eastAsia="仿宋_GB2312"/>
                    </w:rPr>
                    <w:t>学生在校期间突发疾病或者受到伤害，学校发现，但未根据实际情况及时采取相应措施，导致不良后果加重的</w:t>
                  </w:r>
                </w:p>
              </w:tc>
            </w:tr>
            <w:tr>
              <w:tc>
                <w:tcPr>
                  <w:tcW w:type="dxa" w:w="1276"/>
                </w:tcPr>
                <w:p>
                  <w:pPr>
                    <w:pStyle w:val="null3"/>
                  </w:pPr>
                  <w:r>
                    <w:rPr>
                      <w:rFonts w:ascii="仿宋_GB2312" w:hAnsi="仿宋_GB2312" w:cs="仿宋_GB2312" w:eastAsia="仿宋_GB2312"/>
                    </w:rPr>
                    <w:t>（九）</w:t>
                  </w:r>
                </w:p>
              </w:tc>
              <w:tc>
                <w:tcPr>
                  <w:tcW w:type="dxa" w:w="1276"/>
                </w:tcPr>
                <w:p>
                  <w:pPr>
                    <w:pStyle w:val="null3"/>
                  </w:pPr>
                  <w:r>
                    <w:rPr>
                      <w:rFonts w:ascii="仿宋_GB2312" w:hAnsi="仿宋_GB2312" w:cs="仿宋_GB2312" w:eastAsia="仿宋_GB2312"/>
                    </w:rPr>
                    <w:t>学校教师或者其他工作人员体罚或者变相体罚学生，或者在履行职责过程中违反工作要求、操作规程、职业道德或者其他有关规定的</w:t>
                  </w:r>
                </w:p>
              </w:tc>
            </w:tr>
            <w:tr>
              <w:tc>
                <w:tcPr>
                  <w:tcW w:type="dxa" w:w="1276"/>
                </w:tcPr>
                <w:p>
                  <w:pPr>
                    <w:pStyle w:val="null3"/>
                  </w:pPr>
                  <w:r>
                    <w:rPr>
                      <w:rFonts w:ascii="仿宋_GB2312" w:hAnsi="仿宋_GB2312" w:cs="仿宋_GB2312" w:eastAsia="仿宋_GB2312"/>
                    </w:rPr>
                    <w:t>（十）</w:t>
                  </w:r>
                </w:p>
              </w:tc>
              <w:tc>
                <w:tcPr>
                  <w:tcW w:type="dxa" w:w="1276"/>
                </w:tcPr>
                <w:p>
                  <w:pPr>
                    <w:pStyle w:val="null3"/>
                  </w:pPr>
                  <w:r>
                    <w:rPr>
                      <w:rFonts w:ascii="仿宋_GB2312" w:hAnsi="仿宋_GB2312" w:cs="仿宋_GB2312" w:eastAsia="仿宋_GB2312"/>
                    </w:rPr>
                    <w:t>学校教师或者其他工作人员在负有组织、管理未成年学生的职责期间，发现学生行为具有危险性，但未进行必要的管理、告诫或者制止的</w:t>
                  </w:r>
                </w:p>
              </w:tc>
            </w:tr>
            <w:tr>
              <w:tc>
                <w:tcPr>
                  <w:tcW w:type="dxa" w:w="1276"/>
                </w:tcPr>
                <w:p>
                  <w:pPr>
                    <w:pStyle w:val="null3"/>
                  </w:pPr>
                  <w:r>
                    <w:rPr>
                      <w:rFonts w:ascii="仿宋_GB2312" w:hAnsi="仿宋_GB2312" w:cs="仿宋_GB2312" w:eastAsia="仿宋_GB2312"/>
                    </w:rPr>
                    <w:t>（十一）</w:t>
                  </w:r>
                </w:p>
              </w:tc>
              <w:tc>
                <w:tcPr>
                  <w:tcW w:type="dxa" w:w="1276"/>
                </w:tcPr>
                <w:p>
                  <w:pPr>
                    <w:pStyle w:val="null3"/>
                  </w:pPr>
                  <w:r>
                    <w:rPr>
                      <w:rFonts w:ascii="仿宋_GB2312" w:hAnsi="仿宋_GB2312" w:cs="仿宋_GB2312" w:eastAsia="仿宋_GB2312"/>
                    </w:rPr>
                    <w:t>对未成年学生擅自离校等与学生人身安全直接相关的信息，学校发现或者知道，但未及时告知未成年学生的监护人，导致未成年学生因脱离监护人的保护而发生伤害的</w:t>
                  </w:r>
                </w:p>
              </w:tc>
            </w:tr>
            <w:tr>
              <w:tc>
                <w:tcPr>
                  <w:tcW w:type="dxa" w:w="1276"/>
                </w:tcPr>
                <w:p>
                  <w:pPr>
                    <w:pStyle w:val="null3"/>
                  </w:pPr>
                  <w:r>
                    <w:rPr>
                      <w:rFonts w:ascii="仿宋_GB2312" w:hAnsi="仿宋_GB2312" w:cs="仿宋_GB2312" w:eastAsia="仿宋_GB2312"/>
                    </w:rPr>
                    <w:t>（十二）</w:t>
                  </w:r>
                </w:p>
              </w:tc>
              <w:tc>
                <w:tcPr>
                  <w:tcW w:type="dxa" w:w="1276"/>
                </w:tcPr>
                <w:p>
                  <w:pPr>
                    <w:pStyle w:val="null3"/>
                  </w:pPr>
                  <w:r>
                    <w:rPr>
                      <w:rFonts w:ascii="仿宋_GB2312" w:hAnsi="仿宋_GB2312" w:cs="仿宋_GB2312" w:eastAsia="仿宋_GB2312"/>
                    </w:rPr>
                    <w:t>学校知道或应当知道本校学生患有传染性疾病，而未采取必要的隔离防范措施导致其他学生感染的</w:t>
                  </w:r>
                </w:p>
              </w:tc>
            </w:tr>
            <w:tr>
              <w:tc>
                <w:tcPr>
                  <w:tcW w:type="dxa" w:w="1276"/>
                </w:tcPr>
                <w:p>
                  <w:pPr>
                    <w:pStyle w:val="null3"/>
                  </w:pPr>
                  <w:r>
                    <w:rPr>
                      <w:rFonts w:ascii="仿宋_GB2312" w:hAnsi="仿宋_GB2312" w:cs="仿宋_GB2312" w:eastAsia="仿宋_GB2312"/>
                    </w:rPr>
                    <w:t>（十三）</w:t>
                  </w:r>
                </w:p>
              </w:tc>
              <w:tc>
                <w:tcPr>
                  <w:tcW w:type="dxa" w:w="1276"/>
                </w:tcPr>
                <w:p>
                  <w:pPr>
                    <w:pStyle w:val="null3"/>
                  </w:pPr>
                  <w:r>
                    <w:rPr>
                      <w:rFonts w:ascii="仿宋_GB2312" w:hAnsi="仿宋_GB2312" w:cs="仿宋_GB2312" w:eastAsia="仿宋_GB2312"/>
                    </w:rPr>
                    <w:t>学校有未依法履行职责的其他情形的</w:t>
                  </w:r>
                </w:p>
              </w:tc>
            </w:tr>
            <w:tr>
              <w:tc>
                <w:tcPr>
                  <w:tcW w:type="dxa" w:w="1276"/>
                </w:tcPr>
                <w:p>
                  <w:pPr>
                    <w:pStyle w:val="null3"/>
                  </w:pPr>
                  <w:r>
                    <w:rPr>
                      <w:rFonts w:ascii="仿宋_GB2312" w:hAnsi="仿宋_GB2312" w:cs="仿宋_GB2312" w:eastAsia="仿宋_GB2312"/>
                    </w:rPr>
                    <w:t>（十四）</w:t>
                  </w:r>
                </w:p>
              </w:tc>
              <w:tc>
                <w:tcPr>
                  <w:tcW w:type="dxa" w:w="1276"/>
                </w:tcPr>
                <w:p>
                  <w:pPr>
                    <w:pStyle w:val="null3"/>
                  </w:pPr>
                  <w:r>
                    <w:rPr>
                      <w:rFonts w:ascii="仿宋_GB2312" w:hAnsi="仿宋_GB2312" w:cs="仿宋_GB2312" w:eastAsia="仿宋_GB2312"/>
                    </w:rPr>
                    <w:t>必要的诉讼费及其他合理的施救费用</w:t>
                  </w:r>
                </w:p>
              </w:tc>
            </w:tr>
          </w:tbl>
          <w:p>
            <w:pPr>
              <w:pStyle w:val="null3"/>
            </w:pPr>
            <w:r>
              <w:rPr>
                <w:rFonts w:ascii="仿宋_GB2312" w:hAnsi="仿宋_GB2312" w:cs="仿宋_GB2312" w:eastAsia="仿宋_GB2312"/>
              </w:rPr>
              <w:t>8、扩展条款责任范围</w:t>
            </w:r>
          </w:p>
          <w:p>
            <w:pPr>
              <w:pStyle w:val="null3"/>
            </w:pPr>
            <w:r>
              <w:rPr>
                <w:rFonts w:ascii="仿宋_GB2312" w:hAnsi="仿宋_GB2312" w:cs="仿宋_GB2312" w:eastAsia="仿宋_GB2312"/>
              </w:rPr>
              <w:t>投标保险公司应根据教育行业风险事故发生的特点，在基本条款责任的基础上提供扩展条款责任的承保内容填写在下列表格空白处。</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扩展条款内容</w:t>
                  </w:r>
                </w:p>
              </w:tc>
            </w:tr>
            <w:tr>
              <w:tc>
                <w:tcPr>
                  <w:tcW w:type="dxa" w:w="1276"/>
                </w:tcPr>
                <w:p>
                  <w:pPr>
                    <w:pStyle w:val="null3"/>
                  </w:pPr>
                  <w:r>
                    <w:rPr>
                      <w:rFonts w:ascii="仿宋_GB2312" w:hAnsi="仿宋_GB2312" w:cs="仿宋_GB2312" w:eastAsia="仿宋_GB2312"/>
                    </w:rPr>
                    <w:t>（一）</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（二）</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（三）</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（四）</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（五）</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（六）</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（七）</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（八）</w:t>
                  </w:r>
                </w:p>
              </w:tc>
              <w:tc>
                <w:tcPr>
                  <w:tcW w:type="dxa" w:w="1276"/>
                </w:tcPr>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（九）</w:t>
                  </w:r>
                </w:p>
              </w:tc>
              <w:tc>
                <w:tcPr>
                  <w:tcW w:type="dxa" w:w="1276"/>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9、险种及赔偿限额</w:t>
            </w:r>
          </w:p>
          <w:p>
            <w:pPr>
              <w:pStyle w:val="null3"/>
            </w:pPr>
            <w:r>
              <w:rPr>
                <w:rFonts w:ascii="仿宋_GB2312" w:hAnsi="仿宋_GB2312" w:cs="仿宋_GB2312" w:eastAsia="仿宋_GB2312"/>
              </w:rPr>
              <w:t>（1）校方责任险</w:t>
            </w:r>
          </w:p>
          <w:p>
            <w:pPr>
              <w:pStyle w:val="null3"/>
            </w:pPr>
            <w:r>
              <w:rPr>
                <w:rFonts w:ascii="仿宋_GB2312" w:hAnsi="仿宋_GB2312" w:cs="仿宋_GB2312" w:eastAsia="仿宋_GB2312"/>
              </w:rPr>
              <w:t>①每生每年累计赔偿限额不低于人民币柒拾万元(￥700，000元)。</w:t>
            </w:r>
          </w:p>
          <w:p>
            <w:pPr>
              <w:pStyle w:val="null3"/>
            </w:pPr>
            <w:r>
              <w:rPr>
                <w:rFonts w:ascii="仿宋_GB2312" w:hAnsi="仿宋_GB2312" w:cs="仿宋_GB2312" w:eastAsia="仿宋_GB2312"/>
              </w:rPr>
              <w:t>②每所学校每次事故赔偿限额不低于人民币捌佰万元(￥8,000,000元)。</w:t>
            </w:r>
          </w:p>
          <w:p>
            <w:pPr>
              <w:pStyle w:val="null3"/>
            </w:pPr>
            <w:r>
              <w:rPr>
                <w:rFonts w:ascii="仿宋_GB2312" w:hAnsi="仿宋_GB2312" w:cs="仿宋_GB2312" w:eastAsia="仿宋_GB2312"/>
              </w:rPr>
              <w:t>③每所学校每年累计赔偿限额不低于人民币贰仟五佰万元(￥25,000,000元)。</w:t>
            </w:r>
          </w:p>
          <w:p>
            <w:pPr>
              <w:pStyle w:val="null3"/>
            </w:pPr>
            <w:r>
              <w:rPr>
                <w:rFonts w:ascii="仿宋_GB2312" w:hAnsi="仿宋_GB2312" w:cs="仿宋_GB2312" w:eastAsia="仿宋_GB2312"/>
              </w:rPr>
              <w:t>④以上所有赔偿项目均不设免赔额。</w:t>
            </w:r>
          </w:p>
          <w:p>
            <w:pPr>
              <w:pStyle w:val="null3"/>
            </w:pPr>
            <w:r>
              <w:rPr>
                <w:rFonts w:ascii="仿宋_GB2312" w:hAnsi="仿宋_GB2312" w:cs="仿宋_GB2312" w:eastAsia="仿宋_GB2312"/>
              </w:rPr>
              <w:t>（2）文体运动综合责任/研学旅行责任保险</w:t>
            </w:r>
          </w:p>
          <w:p>
            <w:pPr>
              <w:pStyle w:val="null3"/>
            </w:pPr>
            <w:r>
              <w:rPr>
                <w:rFonts w:ascii="仿宋_GB2312" w:hAnsi="仿宋_GB2312" w:cs="仿宋_GB2312" w:eastAsia="仿宋_GB2312"/>
              </w:rPr>
              <w:t>①每生每年累计赔偿限额不低于人民币柒拾万元(￥700，000元)。</w:t>
            </w:r>
          </w:p>
          <w:p>
            <w:pPr>
              <w:pStyle w:val="null3"/>
            </w:pPr>
            <w:r>
              <w:rPr>
                <w:rFonts w:ascii="仿宋_GB2312" w:hAnsi="仿宋_GB2312" w:cs="仿宋_GB2312" w:eastAsia="仿宋_GB2312"/>
              </w:rPr>
              <w:t>②每所学校每次事故赔偿限额不低于人民币捌佰万元(￥8,000,000元)。</w:t>
            </w:r>
          </w:p>
          <w:p>
            <w:pPr>
              <w:pStyle w:val="null3"/>
            </w:pPr>
            <w:r>
              <w:rPr>
                <w:rFonts w:ascii="仿宋_GB2312" w:hAnsi="仿宋_GB2312" w:cs="仿宋_GB2312" w:eastAsia="仿宋_GB2312"/>
              </w:rPr>
              <w:t>③每所学校每年累计赔偿限额不低于人民币贰仟五佰万元(￥25,000,000元)。</w:t>
            </w:r>
          </w:p>
          <w:p>
            <w:pPr>
              <w:pStyle w:val="null3"/>
            </w:pPr>
            <w:r>
              <w:rPr>
                <w:rFonts w:ascii="仿宋_GB2312" w:hAnsi="仿宋_GB2312" w:cs="仿宋_GB2312" w:eastAsia="仿宋_GB2312"/>
              </w:rPr>
              <w:t>④以上所有赔偿项目均不设免赔额。</w:t>
            </w:r>
          </w:p>
          <w:p>
            <w:pPr>
              <w:pStyle w:val="null3"/>
            </w:pPr>
            <w:r>
              <w:rPr>
                <w:rFonts w:ascii="仿宋_GB2312" w:hAnsi="仿宋_GB2312" w:cs="仿宋_GB2312" w:eastAsia="仿宋_GB2312"/>
              </w:rPr>
              <w:t>（3）校方无过失责任险</w:t>
            </w:r>
          </w:p>
          <w:p>
            <w:pPr>
              <w:pStyle w:val="null3"/>
            </w:pPr>
            <w:r>
              <w:rPr>
                <w:rFonts w:ascii="仿宋_GB2312" w:hAnsi="仿宋_GB2312" w:cs="仿宋_GB2312" w:eastAsia="仿宋_GB2312"/>
              </w:rPr>
              <w:t>①每生每年累计赔偿限额不低于人民币贰拾万元(￥200,000元）。</w:t>
            </w:r>
          </w:p>
          <w:p>
            <w:pPr>
              <w:pStyle w:val="null3"/>
            </w:pPr>
            <w:r>
              <w:rPr>
                <w:rFonts w:ascii="仿宋_GB2312" w:hAnsi="仿宋_GB2312" w:cs="仿宋_GB2312" w:eastAsia="仿宋_GB2312"/>
              </w:rPr>
              <w:t>②每所学校每次事故赔偿限额不低于人民币叁佰万元(￥3,000,000元)。</w:t>
            </w:r>
          </w:p>
          <w:p>
            <w:pPr>
              <w:pStyle w:val="null3"/>
            </w:pPr>
            <w:r>
              <w:rPr>
                <w:rFonts w:ascii="仿宋_GB2312" w:hAnsi="仿宋_GB2312" w:cs="仿宋_GB2312" w:eastAsia="仿宋_GB2312"/>
              </w:rPr>
              <w:t>③每所学校每年累计赔偿限额不低于人民币捌佰万元(￥8,000,000元)。</w:t>
            </w:r>
          </w:p>
          <w:p>
            <w:pPr>
              <w:pStyle w:val="null3"/>
            </w:pPr>
            <w:r>
              <w:rPr>
                <w:rFonts w:ascii="仿宋_GB2312" w:hAnsi="仿宋_GB2312" w:cs="仿宋_GB2312" w:eastAsia="仿宋_GB2312"/>
              </w:rPr>
              <w:t>④以上所有赔偿项目均不设免赔额。</w:t>
            </w:r>
          </w:p>
          <w:p>
            <w:pPr>
              <w:pStyle w:val="null3"/>
            </w:pPr>
            <w:r>
              <w:rPr>
                <w:rFonts w:ascii="仿宋_GB2312" w:hAnsi="仿宋_GB2312" w:cs="仿宋_GB2312" w:eastAsia="仿宋_GB2312"/>
              </w:rPr>
              <w:t>（4）总则</w:t>
            </w:r>
          </w:p>
          <w:p>
            <w:pPr>
              <w:pStyle w:val="null3"/>
            </w:pPr>
            <w:r>
              <w:rPr>
                <w:rFonts w:ascii="仿宋_GB2312" w:hAnsi="仿宋_GB2312" w:cs="仿宋_GB2312" w:eastAsia="仿宋_GB2312"/>
              </w:rPr>
              <w:t>本保险是普通教育校方责任保险、高等教育校方责任险和校方责任保险（以下均简称主险）的附加险。只有在投保主险后才可投保本附加险。若主险条款与本附加险条款互有冲突，以本附加险条款为准。本附加险条款未尽事宜，以主险条款为准。</w:t>
            </w:r>
          </w:p>
          <w:p>
            <w:pPr>
              <w:pStyle w:val="null3"/>
            </w:pPr>
            <w:r>
              <w:rPr>
                <w:rFonts w:ascii="仿宋_GB2312" w:hAnsi="仿宋_GB2312" w:cs="仿宋_GB2312" w:eastAsia="仿宋_GB2312"/>
              </w:rPr>
              <w:t>（5）保险责任</w:t>
            </w:r>
          </w:p>
          <w:p>
            <w:pPr>
              <w:pStyle w:val="null3"/>
            </w:pPr>
            <w:r>
              <w:rPr>
                <w:rFonts w:ascii="仿宋_GB2312" w:hAnsi="仿宋_GB2312" w:cs="仿宋_GB2312" w:eastAsia="仿宋_GB2312"/>
              </w:rPr>
              <w:t>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pPr>
            <w:r>
              <w:rPr>
                <w:rFonts w:ascii="仿宋_GB2312" w:hAnsi="仿宋_GB2312" w:cs="仿宋_GB2312" w:eastAsia="仿宋_GB2312"/>
              </w:rPr>
              <w:t>（6）责任限额</w:t>
            </w:r>
          </w:p>
          <w:p>
            <w:pPr>
              <w:pStyle w:val="null3"/>
            </w:pPr>
            <w:r>
              <w:rPr>
                <w:rFonts w:ascii="仿宋_GB2312" w:hAnsi="仿宋_GB2312" w:cs="仿宋_GB2312" w:eastAsia="仿宋_GB2312"/>
              </w:rPr>
              <w:t>本附加险责任限额分每人责任限额（含每人每次事故医疗费责任限额）、每次事故责任限额和累计责任限额，由投保人与保险人协商确定，并在保险单中载明。</w:t>
            </w:r>
          </w:p>
          <w:p>
            <w:pPr>
              <w:pStyle w:val="null3"/>
            </w:pPr>
            <w:r>
              <w:rPr>
                <w:rFonts w:ascii="仿宋_GB2312" w:hAnsi="仿宋_GB2312" w:cs="仿宋_GB2312" w:eastAsia="仿宋_GB2312"/>
              </w:rPr>
              <w:t>（5）释义</w:t>
            </w:r>
          </w:p>
          <w:p>
            <w:pPr>
              <w:pStyle w:val="null3"/>
            </w:pPr>
            <w:r>
              <w:rPr>
                <w:rFonts w:ascii="仿宋_GB2312" w:hAnsi="仿宋_GB2312" w:cs="仿宋_GB2312" w:eastAsia="仿宋_GB2312"/>
              </w:rPr>
              <w:t>本附加险有关术语释义如下：</w:t>
            </w:r>
          </w:p>
          <w:p>
            <w:pPr>
              <w:pStyle w:val="null3"/>
            </w:pPr>
            <w:r>
              <w:rPr>
                <w:rFonts w:ascii="仿宋_GB2312" w:hAnsi="仿宋_GB2312" w:cs="仿宋_GB2312" w:eastAsia="仿宋_GB2312"/>
              </w:rPr>
              <w:t>【保险期间】主险保险单列明的保险起始日至保险终止日的时间区间。</w:t>
            </w:r>
          </w:p>
          <w:p>
            <w:pPr>
              <w:pStyle w:val="null3"/>
            </w:pPr>
            <w:r>
              <w:rPr>
                <w:rFonts w:ascii="仿宋_GB2312" w:hAnsi="仿宋_GB2312" w:cs="仿宋_GB2312" w:eastAsia="仿宋_GB2312"/>
              </w:rPr>
              <w:t>【承保区域范围】主险保险单列明的被保险人在其校（园）内或由其统一组织并带领下的校（园）外活动的区域范围（限中国境内，港澳台地区除外）。</w:t>
            </w:r>
          </w:p>
          <w:p>
            <w:pPr>
              <w:pStyle w:val="null3"/>
            </w:pPr>
            <w:r>
              <w:rPr>
                <w:rFonts w:ascii="仿宋_GB2312" w:hAnsi="仿宋_GB2312" w:cs="仿宋_GB2312" w:eastAsia="仿宋_GB2312"/>
              </w:rPr>
              <w:t>【自然灾害】指气象部门发布的暴风、暴雨、崖崩、雷击、洪水、龙卷风、飑线、台风（热带风暴）、海啸、泥石流、突发性滑坡、冰雹灾害。</w:t>
            </w:r>
          </w:p>
          <w:p>
            <w:pPr>
              <w:pStyle w:val="null3"/>
            </w:pPr>
            <w:r>
              <w:rPr>
                <w:rFonts w:ascii="仿宋_GB2312" w:hAnsi="仿宋_GB2312" w:cs="仿宋_GB2312" w:eastAsia="仿宋_GB2312"/>
              </w:rPr>
              <w:t>其中，暴风：根据气象部门制定的风力级表规定，暴风是指风速在28.3米/秒以上，即相当于风力等级表中的11级以上的风力。</w:t>
            </w:r>
          </w:p>
          <w:p>
            <w:pPr>
              <w:pStyle w:val="null3"/>
            </w:pPr>
            <w:r>
              <w:rPr>
                <w:rFonts w:ascii="仿宋_GB2312" w:hAnsi="仿宋_GB2312" w:cs="仿宋_GB2312" w:eastAsia="仿宋_GB2312"/>
              </w:rPr>
              <w:t>暴雨：是指每小时降雨量达到16毫米以上，或连续12小时降雨量达到30毫米以上，或连续24小时降雨量达到50毫米以上。</w:t>
            </w:r>
          </w:p>
          <w:p>
            <w:pPr>
              <w:pStyle w:val="null3"/>
            </w:pPr>
            <w:r>
              <w:rPr>
                <w:rFonts w:ascii="仿宋_GB2312" w:hAnsi="仿宋_GB2312" w:cs="仿宋_GB2312" w:eastAsia="仿宋_GB2312"/>
              </w:rPr>
              <w:t>【学生自身原因】学生由于疏忽大意或过失行为造成自身的人身伤亡后果。</w:t>
            </w:r>
          </w:p>
          <w:p>
            <w:pPr>
              <w:pStyle w:val="null3"/>
            </w:pPr>
            <w:r>
              <w:rPr>
                <w:rFonts w:ascii="仿宋_GB2312" w:hAnsi="仿宋_GB2312" w:cs="仿宋_GB2312" w:eastAsia="仿宋_GB2312"/>
              </w:rPr>
              <w:t>【学生体质差异】学生由先天遗传和后天获得所形成的，在形态结构、功能活动方面所固有的、相对稳定的个体特征上的不同。</w:t>
            </w:r>
          </w:p>
          <w:p>
            <w:pPr>
              <w:pStyle w:val="null3"/>
            </w:pPr>
            <w:r>
              <w:rPr>
                <w:rFonts w:ascii="仿宋_GB2312" w:hAnsi="仿宋_GB2312" w:cs="仿宋_GB2312" w:eastAsia="仿宋_GB2312"/>
              </w:rPr>
              <w:t>【校外的突发性侵害】来自校外的车辆、外来人员或其他侵害主体在本保险单列明的承保区域范围内实施的突发性、不可预见的伤害事件。</w:t>
            </w:r>
          </w:p>
          <w:p>
            <w:pPr>
              <w:pStyle w:val="null3"/>
            </w:pPr>
            <w:r>
              <w:rPr>
                <w:rFonts w:ascii="仿宋_GB2312" w:hAnsi="仿宋_GB2312" w:cs="仿宋_GB2312" w:eastAsia="仿宋_GB2312"/>
              </w:rPr>
              <w:t>10、明确具体的承保服务与理赔服务流程</w:t>
            </w:r>
          </w:p>
          <w:p>
            <w:pPr>
              <w:pStyle w:val="null3"/>
            </w:pPr>
            <w:r>
              <w:rPr>
                <w:rFonts w:ascii="仿宋_GB2312" w:hAnsi="仿宋_GB2312" w:cs="仿宋_GB2312" w:eastAsia="仿宋_GB2312"/>
              </w:rPr>
              <w:t>供应商即保险公司根据校方责任险的特点和自身实际情况自拟。</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（一）服务期限：1年。</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1、服务费按下列比例支付价款：</w:t>
            </w:r>
          </w:p>
          <w:p>
            <w:pPr>
              <w:pStyle w:val="null3"/>
            </w:pPr>
            <w:r>
              <w:rPr>
                <w:rFonts w:ascii="仿宋_GB2312" w:hAnsi="仿宋_GB2312" w:cs="仿宋_GB2312" w:eastAsia="仿宋_GB2312"/>
              </w:rPr>
              <w:t>被保险学校按实际注册学生数于合同签订后按每学年度结算；</w:t>
            </w:r>
          </w:p>
          <w:p>
            <w:pPr>
              <w:pStyle w:val="null3"/>
            </w:pPr>
            <w:r>
              <w:rPr>
                <w:rFonts w:ascii="仿宋_GB2312" w:hAnsi="仿宋_GB2312" w:cs="仿宋_GB2312" w:eastAsia="仿宋_GB2312"/>
              </w:rPr>
              <w:t>2、乙方须向甲方出具合法有效的完税发票，甲方进行支付结算。</w:t>
            </w:r>
          </w:p>
          <w:p>
            <w:pPr>
              <w:pStyle w:val="null3"/>
            </w:pPr>
            <w:r>
              <w:rPr>
                <w:rFonts w:ascii="仿宋_GB2312" w:hAnsi="仿宋_GB2312" w:cs="仿宋_GB2312" w:eastAsia="仿宋_GB2312"/>
              </w:rPr>
              <w:t>3、结算方式：银行转账。</w:t>
            </w:r>
          </w:p>
          <w:p>
            <w:pPr>
              <w:pStyle w:val="null3"/>
            </w:pPr>
            <w:r>
              <w:rPr>
                <w:rFonts w:ascii="仿宋_GB2312" w:hAnsi="仿宋_GB2312" w:cs="仿宋_GB2312" w:eastAsia="仿宋_GB2312"/>
              </w:rPr>
              <w:t>4、结算单位：由甲方负责结算，付款前乙方向甲方开具全额发票。</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乙方应保证所提供的服务或其任何一部分均不会侵犯任何第三方的专利权、商标权或著作权。</w:t>
            </w:r>
          </w:p>
          <w:p>
            <w:pPr>
              <w:pStyle w:val="null3"/>
            </w:pPr>
            <w:r>
              <w:rPr>
                <w:rFonts w:ascii="仿宋_GB2312" w:hAnsi="仿宋_GB2312" w:cs="仿宋_GB2312" w:eastAsia="仿宋_GB2312"/>
              </w:rPr>
              <w:t>乙方保证所提供的服务的所有权完全属于乙方且无任何抵押、查封等产权瑕疵。如有产权瑕疵的，视为乙方违约。乙方应负担由此而产生的一切损失。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针对本项⽬配备相关业务⼈员，确保按期完成投保。2.承保公司应当成立专门的校方责任保险理赔服务机构，由有经验的专业理赔人员负责理赔服务工作，并配备相应的办公设备。3.具有专⼈负责跟采购⼈进⾏对接，确保及时处理突发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其他，被保险学校按实际注册学生数于合同签订后按每学年度结算，达到付款条件起30个工作日内，支付合同总金额的100.0%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根据《民法典》中的相关条款和竞争性磋商文件要求及甲乙双方签订的合同约定执行。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业。其他未列明⾏业的划型标准为：从业人员300人以下的为中小微型企业。其中，从业人员100人及以上的为中型企业；从业人员10人及以上的为小型企业；从业人员10人以下的为微型企业。2、报价要求：本项目校方责任险（包含文体运动综合责任/研学旅行责任保险）每生每学年保费8元，附加无过失责任险每生每学年2元。93000名学生为暂定的学生人数，保费以投保时被保险学校实际注册学生数计算，本项目执行统⼀价格标准据实结算，结算金额不超过预算金额。故本项目对各供应商报价不进行评审，供应商制作响应⽂件时⽆论是⾸轮报价还是二次报价，所有关于确需填写的价格（单价或总价）均按本项目预算：930,000.00元进行填写，未按要求进行填写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或其磋商前三个月内基本存款账户开户银行出具的资信证明及基本存款账户开户许可证（基本存款账户信息）；（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法定代表人（单位负责人）授权书/法定代表人（单位负责人）身份证明</w:t>
            </w:r>
          </w:p>
        </w:tc>
        <w:tc>
          <w:tcPr>
            <w:tcW w:type="dxa" w:w="3322"/>
          </w:tcPr>
          <w:p>
            <w:pPr>
              <w:pStyle w:val="null3"/>
            </w:pPr>
            <w:r>
              <w:rPr>
                <w:rFonts w:ascii="仿宋_GB2312" w:hAnsi="仿宋_GB2312" w:cs="仿宋_GB2312" w:eastAsia="仿宋_GB2312"/>
              </w:rPr>
              <w:t>法定代表人（单位负责人）参加磋商的，须提供本人身份证明及身份证复印件；法定代表人（单位负责人）授权他人参加磋商的，提供法定代表人（单位负责人）委托授权书、被授权代表的身份证复印件及被授权人近三个月内任意一个月在本单位的社会保障资金缴纳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供应商须具有相关主管机构颁发的《保险许可证》或《金融许可证》（同一保险机构只允许其总公司或一家分支机构参与磋商）。</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控股及管理关系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响应文件的完整性(按要求编制)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响应文件的有效性(按要求签署盖章)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响应文件的响应性(实质上响应磋商文件，磋商文件允许偏离的除外)</w:t>
            </w:r>
          </w:p>
        </w:tc>
        <w:tc>
          <w:tcPr>
            <w:tcW w:type="dxa" w:w="1661"/>
          </w:tcPr>
          <w:p>
            <w:pPr>
              <w:pStyle w:val="null3"/>
            </w:pPr>
            <w:r>
              <w:rPr>
                <w:rFonts w:ascii="仿宋_GB2312" w:hAnsi="仿宋_GB2312" w:cs="仿宋_GB2312" w:eastAsia="仿宋_GB2312"/>
              </w:rPr>
              <w:t>响应文件封面 3.供应商认为有必要补充说明的事项.docx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采购内容及要求提供适用于本项目的服务方案。服务方案包括：①完善的承保方案及流程；②培训方案及风险管理措施；③能够针对本项目提供专项售后服务团队或服务机构并提供相关售后服务方案。 评审标准:每一项内容全面详细，阐述条理清晰详尽、切实可行且符合项目实际需求得5分，①～③项合计得15分。内容①～③项任意一项缺项扣5分，扣完为止；内容①～③项里有一项内容缺陷(缺陷是指：内容粗略、条理不清晰、描述过于简单、与项目特点不匹配、出现常识性错误、存在不适用项目实际情况的情形等)的0.1-4.9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承保服务保障措施</w:t>
            </w:r>
          </w:p>
        </w:tc>
        <w:tc>
          <w:tcPr>
            <w:tcW w:type="dxa" w:w="2492"/>
          </w:tcPr>
          <w:p>
            <w:pPr>
              <w:pStyle w:val="null3"/>
            </w:pPr>
            <w:r>
              <w:rPr>
                <w:rFonts w:ascii="仿宋_GB2312" w:hAnsi="仿宋_GB2312" w:cs="仿宋_GB2312" w:eastAsia="仿宋_GB2312"/>
              </w:rPr>
              <w:t>供应商根据本项目采购内容及要求提供一整套完善的承保服务保障措施。 承保服务保障措施至少包括：①协助教育行政部门做好投保学校的各项承保工作的服务保障措施；②被保险学校人员变动、名称或地址变更、设立分校等相关保全服务保障措施。 评审标准:每一项内容全面详细，阐述条理清晰详尽、切实可行且符合本项目实际需求得4分，①～②项合计得8分。内容①～②项任意一项缺项扣4分，扣完为止；内容①～②项里有一项内容缺陷(缺陷是指：内容粗略、条理不清晰、描述过于简单、与项目特点不匹配、出现常识性错误、存在不适用项目实际情况的情形等)的0.1-3.9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每生每年累计赔偿限额（校方责任险）</w:t>
            </w:r>
          </w:p>
        </w:tc>
        <w:tc>
          <w:tcPr>
            <w:tcW w:type="dxa" w:w="2492"/>
          </w:tcPr>
          <w:p>
            <w:pPr>
              <w:pStyle w:val="null3"/>
            </w:pPr>
            <w:r>
              <w:rPr>
                <w:rFonts w:ascii="仿宋_GB2312" w:hAnsi="仿宋_GB2312" w:cs="仿宋_GB2312" w:eastAsia="仿宋_GB2312"/>
              </w:rPr>
              <w:t>按供应商所报每生每年累计赔偿限额（校方责任险）从高到低排序，最高每生每年累计赔偿限额（校方责任险）为评标基准赔偿限额，得5分，每生每年累计赔偿限额（校方责任险）得分=（各供应商每生每年累计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每所学校每次事故赔偿限额（校方责任险）</w:t>
            </w:r>
          </w:p>
        </w:tc>
        <w:tc>
          <w:tcPr>
            <w:tcW w:type="dxa" w:w="2492"/>
          </w:tcPr>
          <w:p>
            <w:pPr>
              <w:pStyle w:val="null3"/>
            </w:pPr>
            <w:r>
              <w:rPr>
                <w:rFonts w:ascii="仿宋_GB2312" w:hAnsi="仿宋_GB2312" w:cs="仿宋_GB2312" w:eastAsia="仿宋_GB2312"/>
              </w:rPr>
              <w:t>按供应商所报每所学校每次事故赔偿限额（校方责任险）从高到低排序，最高每所学校每次事故赔偿限额（校方责任险）为评标基准赔偿限额，得5分，每所学校每次事故赔偿限额（校方责任险）得分=（各供应商每所学校每次事故赔偿限额（校方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每生每年累计赔偿限额（文体运动综合责任/研学旅行责任保险）</w:t>
            </w:r>
          </w:p>
        </w:tc>
        <w:tc>
          <w:tcPr>
            <w:tcW w:type="dxa" w:w="2492"/>
          </w:tcPr>
          <w:p>
            <w:pPr>
              <w:pStyle w:val="null3"/>
            </w:pPr>
            <w:r>
              <w:rPr>
                <w:rFonts w:ascii="仿宋_GB2312" w:hAnsi="仿宋_GB2312" w:cs="仿宋_GB2312" w:eastAsia="仿宋_GB2312"/>
              </w:rPr>
              <w:t>按供应商所报每生每年累计赔偿限额（文体运动综合责任/研学旅行责任保险）从高到低排序，最高每生每年累计赔偿限额（文体运动综合责任/研学旅行责任保险）为评标基准赔偿限额，得5分，每生每年累计赔偿限额（文体运动综合责任/研学旅行责任保险）得分=（各供应商每生每年累计赔偿限额（文体运动综合责任/研学旅行责任保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每所学校每次事故赔偿限额（文体运动综合责任/研学旅行责任保险）</w:t>
            </w:r>
          </w:p>
        </w:tc>
        <w:tc>
          <w:tcPr>
            <w:tcW w:type="dxa" w:w="2492"/>
          </w:tcPr>
          <w:p>
            <w:pPr>
              <w:pStyle w:val="null3"/>
            </w:pPr>
            <w:r>
              <w:rPr>
                <w:rFonts w:ascii="仿宋_GB2312" w:hAnsi="仿宋_GB2312" w:cs="仿宋_GB2312" w:eastAsia="仿宋_GB2312"/>
              </w:rPr>
              <w:t>按供应商所报每所学校每次事故赔偿限额（文体运动综合责任/研学旅行责任保险）从高到低排序，最高每所学校每次事故赔偿限额（文体运动综合责任/研学旅行责任保险）为评标基准赔偿限额，得5分，每所学校每次事故赔偿限额（文体运动综合责任/研学旅行责任保险）得分=（各供应商每所学校每次事故赔偿限额（文体运动综合责任/研学旅行责任保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每生每年累计赔偿限额（校方无过失责任险）</w:t>
            </w:r>
          </w:p>
        </w:tc>
        <w:tc>
          <w:tcPr>
            <w:tcW w:type="dxa" w:w="2492"/>
          </w:tcPr>
          <w:p>
            <w:pPr>
              <w:pStyle w:val="null3"/>
            </w:pPr>
            <w:r>
              <w:rPr>
                <w:rFonts w:ascii="仿宋_GB2312" w:hAnsi="仿宋_GB2312" w:cs="仿宋_GB2312" w:eastAsia="仿宋_GB2312"/>
              </w:rPr>
              <w:t>按供应商所报每生每年累计赔偿限额（校方无过失责任险）从高到低排序，最高每生每年累计赔偿限额（校方无过失责任险）为评标基准赔偿限额，得5分，每生每年累计赔偿限额（校方无过失责任险）得分=（各供应商每生每年累计赔偿限额（校方无过失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每所学校每次事故赔偿限额（校方无过失责任险）</w:t>
            </w:r>
          </w:p>
        </w:tc>
        <w:tc>
          <w:tcPr>
            <w:tcW w:type="dxa" w:w="2492"/>
          </w:tcPr>
          <w:p>
            <w:pPr>
              <w:pStyle w:val="null3"/>
            </w:pPr>
            <w:r>
              <w:rPr>
                <w:rFonts w:ascii="仿宋_GB2312" w:hAnsi="仿宋_GB2312" w:cs="仿宋_GB2312" w:eastAsia="仿宋_GB2312"/>
              </w:rPr>
              <w:t>按供应商所报每所学校每次事故赔偿限额（校方无过失责任险）从高到低排序，最高每所学校每次事故赔偿限额（校方无过失责任险）为评标基准赔偿限额，得5分，每所学校每次事故赔偿限额（校方无过失责任险）得分=（各供应商每所学校每次事故赔偿限额（校方无过失责任险）/评标基准赔偿限额）×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每所学校每年累计赔偿限额</w:t>
            </w:r>
          </w:p>
        </w:tc>
        <w:tc>
          <w:tcPr>
            <w:tcW w:type="dxa" w:w="2492"/>
          </w:tcPr>
          <w:p>
            <w:pPr>
              <w:pStyle w:val="null3"/>
            </w:pPr>
            <w:r>
              <w:rPr>
                <w:rFonts w:ascii="仿宋_GB2312" w:hAnsi="仿宋_GB2312" w:cs="仿宋_GB2312" w:eastAsia="仿宋_GB2312"/>
              </w:rPr>
              <w:t>每所学校每年累计赔偿限额（包含校方责任险、文体运动综合责任/研学旅行责任保险、校方无过失责任险）不设上限的得1分，否则不得分。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赔偿项目免赔额</w:t>
            </w:r>
          </w:p>
        </w:tc>
        <w:tc>
          <w:tcPr>
            <w:tcW w:type="dxa" w:w="2492"/>
          </w:tcPr>
          <w:p>
            <w:pPr>
              <w:pStyle w:val="null3"/>
            </w:pPr>
            <w:r>
              <w:rPr>
                <w:rFonts w:ascii="仿宋_GB2312" w:hAnsi="仿宋_GB2312" w:cs="仿宋_GB2312" w:eastAsia="仿宋_GB2312"/>
              </w:rPr>
              <w:t>所有赔偿项目不设免赔额的得1分，否则不得分。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供应商承诺自收到被保险学校投保材料后5个工作日内按要求出具正式保险单和发票的得1分，否则不得分。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供应商针对本项目采购内容及要求提供适用于本项目的理赔服务方案，理赔服务方案包括：①建立针对本项目的专项工作小组并设立热线电话，理赔流程详尽合理，方便快捷，有整套完善的理赔措施；②对校方责任事故处理的理赔时效；③重大事故的协商处理方案； ④有通融赔付机制和案例，认同法院裁决书或裁定书作为理赔依据；⑤对学校提供理赔材料有欠缺的能协助处理；⑥上门收取学校理赔资料的服务流程。 评审标准：每一项内容全面详细，阐述条理清晰详尽、切实可行且符合项目实际需求得3分，①～⑥项合计得18分。内容①～⑥项任意一项缺项扣3分，扣完为止；内容①～⑥项里有一项内容缺陷(缺陷是指：内容粗略、条理不清晰、描述过于简单、与项目特点不匹配、出现常识性错误、存在不适用项目实际情况的情形等)的0.1-2.9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其他服务方案</w:t>
            </w:r>
          </w:p>
        </w:tc>
        <w:tc>
          <w:tcPr>
            <w:tcW w:type="dxa" w:w="2492"/>
          </w:tcPr>
          <w:p>
            <w:pPr>
              <w:pStyle w:val="null3"/>
            </w:pPr>
            <w:r>
              <w:rPr>
                <w:rFonts w:ascii="仿宋_GB2312" w:hAnsi="仿宋_GB2312" w:cs="仿宋_GB2312" w:eastAsia="仿宋_GB2312"/>
              </w:rPr>
              <w:t>供应商根据本项目采购内容及要求提供适用于本项目的其他服务方案。其他服务方案包括：①法律援助服务；②增值服务；③特色服务。 评审标准:每一项内容全面详细，阐述条理清晰详尽、切实可行且符合项目实际需求得3分，①～③项合计得9分。内容①～③项任意一项缺项扣3分，扣完为止；内容①～③项里有一项内容缺陷(缺陷是指：内容粗略、条理不清晰、描述过于简单、与项目特点不匹配、出现常识性错误、存在不适用项目实际情况的情形等)的0.1-2.9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2.方案响应部分.docx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根据供应商一年来综合偿付能力充足率情况进⾏综合评分。 ①综合偿付能⼒充⾜率连续四个季度均≥200%，得8分； ②只有三个季度≥200%，得6分；③只有两个季度≥200%，得4分； ④只有⼀个季度≥200%，得2分；⑤四个季度均在200% 以下，不得分。 注：供应商需提供在中国保险⾏业协会官⽹（www.iachina.cn）查询到的机构基本信息及综合偿付能⼒充⾜率的数据截图并加盖单位公章，未提供不得分。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供应商提供2023年7月1日至今的同类项目业绩。每提供一项得3分，最高得9分。 备注：业绩证明材料以合同复印件或保单复印件或中标/成交通知书为准（复印件加盖公章清晰可辨）。</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2.方案响应部分.docx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详见附件：2.方案响应部分.docx</w:t>
      </w:r>
    </w:p>
    <w:p>
      <w:pPr>
        <w:pStyle w:val="null3"/>
        <w:ind w:firstLine="960"/>
      </w:pPr>
      <w:r>
        <w:rPr>
          <w:rFonts w:ascii="仿宋_GB2312" w:hAnsi="仿宋_GB2312" w:cs="仿宋_GB2312" w:eastAsia="仿宋_GB2312"/>
        </w:rPr>
        <w:t>详见附件：3.供应商认为有必要补充说明的事项.docx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