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5E126">
      <w:pPr>
        <w:jc w:val="center"/>
        <w:rPr>
          <w:rFonts w:hint="eastAsia" w:ascii="宋体" w:hAnsi="宋体" w:cs="宋体"/>
          <w:b/>
          <w:sz w:val="40"/>
          <w:szCs w:val="40"/>
          <w:highlight w:val="none"/>
          <w:lang w:eastAsia="zh-CN"/>
        </w:rPr>
      </w:pPr>
    </w:p>
    <w:p w14:paraId="6F8CBF7F">
      <w:pPr>
        <w:jc w:val="center"/>
        <w:rPr>
          <w:rFonts w:hint="eastAsia" w:ascii="宋体" w:hAnsi="宋体" w:cs="宋体"/>
          <w:b/>
          <w:sz w:val="40"/>
          <w:szCs w:val="40"/>
          <w:highlight w:val="none"/>
          <w:lang w:eastAsia="zh-CN"/>
        </w:rPr>
      </w:pPr>
    </w:p>
    <w:p w14:paraId="5CA4FCDD">
      <w:pPr>
        <w:jc w:val="center"/>
        <w:rPr>
          <w:rFonts w:hint="eastAsia" w:ascii="宋体" w:hAnsi="宋体" w:cs="宋体"/>
          <w:b/>
          <w:sz w:val="40"/>
          <w:szCs w:val="40"/>
          <w:highlight w:val="none"/>
          <w:lang w:eastAsia="zh-CN"/>
        </w:rPr>
      </w:pPr>
    </w:p>
    <w:p w14:paraId="4A7FBAEE">
      <w:pPr>
        <w:jc w:val="center"/>
        <w:rPr>
          <w:rFonts w:hint="eastAsia" w:ascii="宋体" w:hAnsi="宋体" w:cs="宋体"/>
          <w:b/>
          <w:sz w:val="40"/>
          <w:szCs w:val="40"/>
          <w:highlight w:val="none"/>
          <w:lang w:eastAsia="zh-CN"/>
        </w:rPr>
      </w:pPr>
      <w:r>
        <w:rPr>
          <w:rFonts w:hint="eastAsia" w:ascii="宋体" w:hAnsi="宋体" w:cs="宋体"/>
          <w:b/>
          <w:sz w:val="40"/>
          <w:szCs w:val="40"/>
          <w:highlight w:val="none"/>
          <w:lang w:eastAsia="zh-CN"/>
        </w:rPr>
        <w:t>西安市莲湖区教育局202</w:t>
      </w:r>
      <w:r>
        <w:rPr>
          <w:rFonts w:hint="eastAsia" w:ascii="宋体" w:hAnsi="宋体" w:cs="宋体"/>
          <w:b/>
          <w:sz w:val="40"/>
          <w:szCs w:val="40"/>
          <w:highlight w:val="none"/>
          <w:lang w:val="en-US" w:eastAsia="zh-CN"/>
        </w:rPr>
        <w:t>6</w:t>
      </w:r>
      <w:r>
        <w:rPr>
          <w:rFonts w:hint="eastAsia" w:ascii="宋体" w:hAnsi="宋体" w:cs="宋体"/>
          <w:b/>
          <w:sz w:val="40"/>
          <w:szCs w:val="40"/>
          <w:highlight w:val="none"/>
          <w:lang w:eastAsia="zh-CN"/>
        </w:rPr>
        <w:t>-202</w:t>
      </w:r>
      <w:r>
        <w:rPr>
          <w:rFonts w:hint="eastAsia" w:ascii="宋体" w:hAnsi="宋体" w:cs="宋体"/>
          <w:b/>
          <w:sz w:val="40"/>
          <w:szCs w:val="40"/>
          <w:highlight w:val="none"/>
          <w:lang w:val="en-US" w:eastAsia="zh-CN"/>
        </w:rPr>
        <w:t>7</w:t>
      </w:r>
      <w:r>
        <w:rPr>
          <w:rFonts w:hint="eastAsia" w:ascii="宋体" w:hAnsi="宋体" w:cs="宋体"/>
          <w:b/>
          <w:sz w:val="40"/>
          <w:szCs w:val="40"/>
          <w:highlight w:val="none"/>
          <w:lang w:eastAsia="zh-CN"/>
        </w:rPr>
        <w:t>年度</w:t>
      </w:r>
    </w:p>
    <w:p w14:paraId="67C9B239">
      <w:pPr>
        <w:jc w:val="center"/>
        <w:rPr>
          <w:rFonts w:hint="eastAsia" w:ascii="宋体" w:hAnsi="宋体" w:eastAsia="宋体" w:cs="宋体"/>
          <w:b/>
          <w:sz w:val="48"/>
          <w:szCs w:val="48"/>
          <w:highlight w:val="none"/>
          <w:lang w:eastAsia="zh-CN"/>
        </w:rPr>
      </w:pPr>
      <w:r>
        <w:rPr>
          <w:rFonts w:hint="eastAsia" w:ascii="宋体" w:hAnsi="宋体" w:cs="宋体"/>
          <w:b/>
          <w:sz w:val="40"/>
          <w:szCs w:val="40"/>
          <w:highlight w:val="none"/>
          <w:lang w:eastAsia="zh-CN"/>
        </w:rPr>
        <w:t>校园责任险采购项目</w:t>
      </w:r>
    </w:p>
    <w:p w14:paraId="17E6312E">
      <w:pPr>
        <w:jc w:val="center"/>
        <w:rPr>
          <w:rFonts w:hint="eastAsia" w:ascii="宋体" w:hAnsi="宋体" w:cs="宋体"/>
          <w:b/>
          <w:sz w:val="48"/>
          <w:szCs w:val="48"/>
          <w:highlight w:val="none"/>
        </w:rPr>
      </w:pPr>
    </w:p>
    <w:p w14:paraId="2905A8B6">
      <w:pPr>
        <w:pStyle w:val="4"/>
        <w:rPr>
          <w:rFonts w:hint="eastAsia" w:ascii="宋体" w:hAnsi="宋体" w:cs="宋体"/>
          <w:b/>
          <w:sz w:val="48"/>
          <w:szCs w:val="48"/>
          <w:highlight w:val="none"/>
        </w:rPr>
      </w:pPr>
    </w:p>
    <w:p w14:paraId="62614E6B">
      <w:pPr>
        <w:rPr>
          <w:rFonts w:hint="eastAsia"/>
        </w:rPr>
      </w:pPr>
    </w:p>
    <w:p w14:paraId="394A0ACB">
      <w:pPr>
        <w:jc w:val="center"/>
        <w:rPr>
          <w:rFonts w:hint="eastAsia" w:ascii="宋体" w:hAnsi="宋体" w:cs="宋体"/>
          <w:b/>
          <w:sz w:val="52"/>
          <w:szCs w:val="52"/>
          <w:highlight w:val="none"/>
        </w:rPr>
      </w:pPr>
      <w:r>
        <w:rPr>
          <w:rFonts w:hint="eastAsia" w:ascii="宋体" w:hAnsi="宋体" w:cs="宋体"/>
          <w:b/>
          <w:sz w:val="48"/>
          <w:szCs w:val="48"/>
          <w:highlight w:val="none"/>
        </w:rPr>
        <w:t>合同</w:t>
      </w:r>
    </w:p>
    <w:p w14:paraId="2025C328">
      <w:pPr>
        <w:jc w:val="center"/>
        <w:rPr>
          <w:rFonts w:hint="eastAsia" w:ascii="宋体" w:hAnsi="宋体" w:cs="宋体"/>
          <w:sz w:val="28"/>
          <w:highlight w:val="none"/>
        </w:rPr>
      </w:pPr>
    </w:p>
    <w:p w14:paraId="6B342F60">
      <w:pPr>
        <w:jc w:val="center"/>
        <w:rPr>
          <w:rFonts w:hint="eastAsia" w:ascii="宋体" w:hAnsi="宋体" w:cs="宋体"/>
          <w:b/>
          <w:bCs/>
          <w:sz w:val="2"/>
          <w:highlight w:val="none"/>
        </w:rPr>
      </w:pPr>
      <w:r>
        <w:rPr>
          <w:rFonts w:hint="eastAsia" w:ascii="宋体" w:hAnsi="宋体" w:cs="宋体"/>
          <w:b/>
          <w:bCs/>
          <w:sz w:val="28"/>
          <w:highlight w:val="none"/>
        </w:rPr>
        <w:t>（示范文本）</w:t>
      </w:r>
    </w:p>
    <w:p w14:paraId="18F33693">
      <w:pPr>
        <w:ind w:firstLine="480" w:firstLineChars="200"/>
        <w:rPr>
          <w:rFonts w:hint="eastAsia" w:ascii="宋体" w:hAnsi="宋体" w:cs="宋体"/>
          <w:sz w:val="24"/>
          <w:highlight w:val="none"/>
        </w:rPr>
      </w:pPr>
    </w:p>
    <w:p w14:paraId="41A51212">
      <w:pPr>
        <w:ind w:firstLine="480" w:firstLineChars="200"/>
        <w:rPr>
          <w:rFonts w:hint="eastAsia" w:ascii="宋体" w:hAnsi="宋体" w:cs="宋体"/>
          <w:sz w:val="24"/>
          <w:highlight w:val="none"/>
        </w:rPr>
      </w:pPr>
    </w:p>
    <w:p w14:paraId="0D083284">
      <w:pPr>
        <w:ind w:firstLine="480" w:firstLineChars="200"/>
        <w:rPr>
          <w:rFonts w:hint="eastAsia" w:ascii="宋体" w:hAnsi="宋体" w:cs="宋体"/>
          <w:sz w:val="24"/>
          <w:highlight w:val="none"/>
        </w:rPr>
      </w:pPr>
    </w:p>
    <w:p w14:paraId="240B35E7">
      <w:pPr>
        <w:ind w:firstLine="480" w:firstLineChars="200"/>
        <w:rPr>
          <w:rFonts w:hint="eastAsia" w:ascii="宋体" w:hAnsi="宋体" w:cs="宋体"/>
          <w:sz w:val="24"/>
          <w:highlight w:val="none"/>
        </w:rPr>
      </w:pPr>
    </w:p>
    <w:p w14:paraId="084F84DC">
      <w:pPr>
        <w:ind w:firstLine="480" w:firstLineChars="200"/>
        <w:rPr>
          <w:rFonts w:hint="eastAsia" w:ascii="宋体" w:hAnsi="宋体" w:cs="宋体"/>
          <w:sz w:val="24"/>
          <w:highlight w:val="none"/>
        </w:rPr>
      </w:pPr>
    </w:p>
    <w:p w14:paraId="3910808C">
      <w:pPr>
        <w:ind w:firstLine="480" w:firstLineChars="200"/>
        <w:rPr>
          <w:rFonts w:hint="eastAsia" w:ascii="宋体" w:hAnsi="宋体" w:cs="宋体"/>
          <w:sz w:val="24"/>
          <w:highlight w:val="none"/>
        </w:rPr>
      </w:pPr>
    </w:p>
    <w:p w14:paraId="4ED04EC2">
      <w:pPr>
        <w:ind w:firstLine="480" w:firstLineChars="200"/>
        <w:rPr>
          <w:rFonts w:hint="eastAsia" w:ascii="宋体" w:hAnsi="宋体" w:cs="宋体"/>
          <w:sz w:val="24"/>
          <w:highlight w:val="none"/>
        </w:rPr>
      </w:pPr>
    </w:p>
    <w:p w14:paraId="6EF347E5">
      <w:pPr>
        <w:ind w:firstLine="480" w:firstLineChars="200"/>
        <w:rPr>
          <w:rFonts w:hint="eastAsia" w:ascii="宋体" w:hAnsi="宋体" w:cs="宋体"/>
          <w:sz w:val="24"/>
          <w:highlight w:val="none"/>
        </w:rPr>
      </w:pPr>
    </w:p>
    <w:p w14:paraId="77D4F8C1">
      <w:pPr>
        <w:ind w:firstLine="480" w:firstLineChars="200"/>
        <w:rPr>
          <w:rFonts w:hint="eastAsia" w:ascii="宋体" w:hAnsi="宋体" w:cs="宋体"/>
          <w:sz w:val="24"/>
          <w:highlight w:val="none"/>
        </w:rPr>
      </w:pPr>
    </w:p>
    <w:p w14:paraId="7448BACE">
      <w:pPr>
        <w:ind w:firstLine="480" w:firstLineChars="200"/>
        <w:rPr>
          <w:rFonts w:hint="eastAsia" w:ascii="宋体" w:hAnsi="宋体" w:cs="宋体"/>
          <w:sz w:val="24"/>
          <w:highlight w:val="none"/>
        </w:rPr>
      </w:pPr>
    </w:p>
    <w:p w14:paraId="4BF5971C">
      <w:pPr>
        <w:ind w:firstLine="480" w:firstLineChars="200"/>
        <w:rPr>
          <w:rFonts w:hint="eastAsia" w:ascii="宋体" w:hAnsi="宋体" w:cs="宋体"/>
          <w:sz w:val="24"/>
          <w:highlight w:val="none"/>
        </w:rPr>
      </w:pPr>
    </w:p>
    <w:p w14:paraId="385512A8">
      <w:pPr>
        <w:ind w:firstLine="480" w:firstLineChars="200"/>
        <w:rPr>
          <w:rFonts w:hint="eastAsia" w:ascii="宋体" w:hAnsi="宋体" w:cs="宋体"/>
          <w:sz w:val="24"/>
          <w:highlight w:val="none"/>
        </w:rPr>
      </w:pPr>
    </w:p>
    <w:p w14:paraId="75B1FB84">
      <w:pPr>
        <w:ind w:firstLine="480" w:firstLineChars="200"/>
        <w:rPr>
          <w:rFonts w:hint="eastAsia" w:ascii="宋体" w:hAnsi="宋体" w:cs="宋体"/>
          <w:sz w:val="24"/>
          <w:highlight w:val="none"/>
        </w:rPr>
      </w:pPr>
    </w:p>
    <w:p w14:paraId="554327D0">
      <w:pPr>
        <w:ind w:firstLine="480" w:firstLineChars="200"/>
        <w:rPr>
          <w:rFonts w:hint="eastAsia" w:ascii="宋体" w:hAnsi="宋体" w:cs="宋体"/>
          <w:sz w:val="24"/>
          <w:highlight w:val="none"/>
        </w:rPr>
      </w:pPr>
    </w:p>
    <w:p w14:paraId="0255166F">
      <w:pPr>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6F179196">
      <w:pPr>
        <w:spacing w:before="120" w:beforeLines="50" w:after="120" w:afterLines="50" w:line="360" w:lineRule="auto"/>
        <w:jc w:val="center"/>
        <w:outlineLvl w:val="0"/>
        <w:rPr>
          <w:rFonts w:hint="eastAsia" w:ascii="宋体" w:hAnsi="宋体" w:cs="宋体"/>
          <w:b/>
          <w:bCs/>
          <w:sz w:val="36"/>
          <w:szCs w:val="36"/>
          <w:highlight w:val="none"/>
        </w:rPr>
      </w:pPr>
      <w:bookmarkStart w:id="0" w:name="_Toc14129"/>
      <w:bookmarkStart w:id="1" w:name="_Toc9781"/>
      <w:r>
        <w:rPr>
          <w:rFonts w:hint="eastAsia" w:ascii="宋体" w:hAnsi="宋体" w:cs="宋体"/>
          <w:sz w:val="36"/>
          <w:szCs w:val="36"/>
          <w:highlight w:val="none"/>
        </w:rPr>
        <w:t>年</w:t>
      </w:r>
      <w:r>
        <w:rPr>
          <w:rFonts w:hint="eastAsia" w:ascii="宋体" w:hAnsi="宋体" w:cs="宋体"/>
          <w:sz w:val="36"/>
          <w:szCs w:val="36"/>
          <w:highlight w:val="none"/>
          <w:lang w:val="en-US" w:eastAsia="zh-CN"/>
        </w:rPr>
        <w:t xml:space="preserve">   </w:t>
      </w:r>
      <w:r>
        <w:rPr>
          <w:rFonts w:hint="eastAsia" w:ascii="宋体" w:hAnsi="宋体" w:cs="宋体"/>
          <w:sz w:val="36"/>
          <w:szCs w:val="36"/>
          <w:highlight w:val="none"/>
        </w:rPr>
        <w:t>月</w:t>
      </w:r>
      <w:r>
        <w:rPr>
          <w:rFonts w:hint="eastAsia" w:ascii="宋体" w:hAnsi="宋体" w:cs="宋体"/>
          <w:sz w:val="36"/>
          <w:szCs w:val="36"/>
          <w:highlight w:val="none"/>
          <w:lang w:val="en-US" w:eastAsia="zh-CN"/>
        </w:rPr>
        <w:t xml:space="preserve">   日</w:t>
      </w:r>
      <w:r>
        <w:rPr>
          <w:rFonts w:hint="eastAsia" w:ascii="宋体" w:hAnsi="宋体" w:cs="宋体"/>
          <w:sz w:val="24"/>
          <w:highlight w:val="none"/>
        </w:rPr>
        <w:br w:type="page"/>
      </w:r>
      <w:r>
        <w:rPr>
          <w:rFonts w:hint="eastAsia" w:ascii="宋体" w:hAnsi="宋体" w:cs="宋体"/>
          <w:sz w:val="24"/>
          <w:highlight w:val="none"/>
        </w:rPr>
        <w:t xml:space="preserve"> </w:t>
      </w:r>
      <w:bookmarkStart w:id="2" w:name="_Toc24687"/>
      <w:bookmarkStart w:id="3" w:name="_Toc21236"/>
      <w:r>
        <w:rPr>
          <w:rFonts w:hint="eastAsia" w:ascii="宋体" w:hAnsi="宋体"/>
          <w:b/>
          <w:sz w:val="24"/>
          <w:szCs w:val="32"/>
          <w:highlight w:val="none"/>
        </w:rPr>
        <w:t>（本合同仅供参考 具体以采购人要求为准）</w:t>
      </w:r>
      <w:bookmarkEnd w:id="0"/>
      <w:bookmarkEnd w:id="1"/>
      <w:bookmarkEnd w:id="2"/>
      <w:bookmarkEnd w:id="3"/>
    </w:p>
    <w:p w14:paraId="2E83CEEF">
      <w:pPr>
        <w:pStyle w:val="7"/>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hint="eastAsia" w:ascii="宋体" w:hAnsi="宋体"/>
          <w:color w:val="000000"/>
          <w:sz w:val="24"/>
          <w:szCs w:val="24"/>
        </w:rPr>
      </w:pPr>
      <w:r>
        <w:rPr>
          <w:rFonts w:hint="eastAsia" w:ascii="宋体" w:hAnsi="宋体"/>
          <w:color w:val="000000"/>
          <w:sz w:val="24"/>
          <w:szCs w:val="24"/>
          <w:lang w:val="en-US" w:eastAsia="zh-CN"/>
        </w:rPr>
        <w:t>合同</w:t>
      </w:r>
      <w:r>
        <w:rPr>
          <w:rFonts w:hint="eastAsia" w:ascii="宋体" w:hAnsi="宋体"/>
          <w:color w:val="000000"/>
          <w:sz w:val="24"/>
          <w:szCs w:val="24"/>
        </w:rPr>
        <w:t xml:space="preserve">编号： </w:t>
      </w:r>
    </w:p>
    <w:p w14:paraId="7CCD3921">
      <w:pPr>
        <w:pStyle w:val="7"/>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hint="eastAsia" w:ascii="宋体" w:hAnsi="宋体"/>
          <w:color w:val="000000"/>
          <w:sz w:val="24"/>
          <w:szCs w:val="24"/>
        </w:rPr>
      </w:pPr>
      <w:r>
        <w:rPr>
          <w:rFonts w:hint="eastAsia" w:ascii="宋体" w:hAnsi="宋体"/>
          <w:color w:val="000000"/>
          <w:sz w:val="24"/>
          <w:szCs w:val="24"/>
        </w:rPr>
        <w:t xml:space="preserve">签订地点： </w:t>
      </w:r>
    </w:p>
    <w:p w14:paraId="7CEA325F">
      <w:pPr>
        <w:pStyle w:val="7"/>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hint="eastAsia" w:ascii="宋体" w:hAnsi="宋体"/>
          <w:color w:val="000000"/>
          <w:sz w:val="24"/>
          <w:szCs w:val="24"/>
        </w:rPr>
      </w:pPr>
      <w:r>
        <w:rPr>
          <w:rFonts w:hint="eastAsia" w:ascii="宋体" w:hAnsi="宋体"/>
          <w:color w:val="000000"/>
          <w:sz w:val="24"/>
          <w:szCs w:val="24"/>
        </w:rPr>
        <w:t>签订时间:</w:t>
      </w:r>
    </w:p>
    <w:p w14:paraId="6836F14E">
      <w:pPr>
        <w:pStyle w:val="7"/>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hint="eastAsia" w:ascii="宋体" w:hAnsi="宋体"/>
          <w:color w:val="000000"/>
          <w:sz w:val="24"/>
          <w:szCs w:val="24"/>
        </w:rPr>
      </w:pPr>
      <w:r>
        <w:rPr>
          <w:rFonts w:hint="eastAsia" w:ascii="宋体" w:hAnsi="宋体"/>
          <w:color w:val="000000"/>
          <w:sz w:val="24"/>
          <w:szCs w:val="24"/>
        </w:rPr>
        <w:t>采购人（甲方）：</w:t>
      </w:r>
    </w:p>
    <w:p w14:paraId="1769E2EE">
      <w:pPr>
        <w:pStyle w:val="7"/>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hint="eastAsia" w:ascii="宋体" w:hAnsi="宋体"/>
          <w:color w:val="000000"/>
          <w:sz w:val="24"/>
          <w:szCs w:val="24"/>
        </w:rPr>
      </w:pPr>
      <w:r>
        <w:rPr>
          <w:rFonts w:hint="eastAsia" w:ascii="宋体" w:hAnsi="宋体"/>
          <w:color w:val="000000"/>
          <w:sz w:val="24"/>
          <w:szCs w:val="24"/>
        </w:rPr>
        <w:t>供应商（乙方）：</w:t>
      </w:r>
    </w:p>
    <w:p w14:paraId="57B53D0C">
      <w:pPr>
        <w:pStyle w:val="7"/>
        <w:keepNext w:val="0"/>
        <w:keepLines w:val="0"/>
        <w:pageBreakBefore w:val="0"/>
        <w:widowControl w:val="0"/>
        <w:kinsoku/>
        <w:wordWrap w:val="0"/>
        <w:overflowPunct/>
        <w:topLinePunct/>
        <w:autoSpaceDE/>
        <w:autoSpaceDN/>
        <w:bidi w:val="0"/>
        <w:adjustRightInd/>
        <w:snapToGrid/>
        <w:spacing w:before="120" w:beforeLines="50" w:line="460" w:lineRule="exact"/>
        <w:ind w:left="479" w:leftChars="228" w:firstLine="480" w:firstLineChars="200"/>
        <w:textAlignment w:val="auto"/>
        <w:rPr>
          <w:rFonts w:hint="eastAsia" w:ascii="宋体" w:hAnsi="宋体"/>
          <w:color w:val="000000"/>
          <w:sz w:val="24"/>
          <w:szCs w:val="24"/>
        </w:rPr>
      </w:pPr>
      <w:r>
        <w:rPr>
          <w:rFonts w:hint="eastAsia" w:ascii="宋体" w:hAnsi="宋体"/>
          <w:color w:val="000000"/>
          <w:sz w:val="24"/>
          <w:szCs w:val="24"/>
        </w:rPr>
        <w:t>根据《中华人民共和国政府采购法》及实施条例、《中华人民共和国</w:t>
      </w:r>
      <w:r>
        <w:rPr>
          <w:rFonts w:hint="eastAsia" w:ascii="宋体" w:hAnsi="宋体"/>
          <w:color w:val="000000"/>
          <w:sz w:val="24"/>
          <w:szCs w:val="24"/>
          <w:lang w:eastAsia="zh-CN"/>
        </w:rPr>
        <w:t>民法典</w:t>
      </w:r>
      <w:r>
        <w:rPr>
          <w:rFonts w:hint="eastAsia" w:ascii="宋体" w:hAnsi="宋体"/>
          <w:color w:val="000000"/>
          <w:sz w:val="24"/>
          <w:szCs w:val="24"/>
        </w:rPr>
        <w:t>》和</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 xml:space="preserve"> 采购项目（采购项目编号：</w:t>
      </w:r>
      <w:r>
        <w:rPr>
          <w:rFonts w:hint="eastAsia" w:ascii="宋体" w:hAnsi="宋体" w:eastAsia="宋体" w:cs="宋体"/>
          <w:color w:val="000000"/>
          <w:sz w:val="24"/>
          <w:szCs w:val="24"/>
          <w:lang w:eastAsia="zh-CN"/>
        </w:rPr>
        <w:t>SXSJHT2026-111</w:t>
      </w:r>
      <w:r>
        <w:rPr>
          <w:rFonts w:hint="eastAsia" w:ascii="宋体" w:hAnsi="宋体"/>
          <w:color w:val="000000"/>
          <w:sz w:val="24"/>
          <w:szCs w:val="24"/>
        </w:rPr>
        <w:t>）的磋商文件、响应文件等有关规定，为确保甲方采购项目的顺利实施，甲、乙双方在平等自愿原则下签订本</w:t>
      </w:r>
      <w:r>
        <w:rPr>
          <w:rFonts w:hint="eastAsia" w:ascii="宋体" w:hAnsi="宋体"/>
          <w:color w:val="000000"/>
          <w:sz w:val="24"/>
          <w:szCs w:val="24"/>
          <w:lang w:val="en-US" w:eastAsia="zh-CN"/>
        </w:rPr>
        <w:t>合同</w:t>
      </w:r>
      <w:r>
        <w:rPr>
          <w:rFonts w:hint="eastAsia" w:ascii="宋体" w:hAnsi="宋体"/>
          <w:color w:val="000000"/>
          <w:sz w:val="24"/>
          <w:szCs w:val="24"/>
        </w:rPr>
        <w:t>，并共同遵守如下条款：</w:t>
      </w:r>
    </w:p>
    <w:p w14:paraId="0ECFE01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第一条、项目基本情况</w:t>
      </w:r>
    </w:p>
    <w:p w14:paraId="56267C2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本项目用于西安市莲湖区教育局202</w:t>
      </w:r>
      <w:r>
        <w:rPr>
          <w:rFonts w:hint="eastAsia" w:ascii="宋体" w:hAnsi="宋体" w:cs="宋体"/>
          <w:color w:val="000000"/>
          <w:kern w:val="2"/>
          <w:sz w:val="24"/>
          <w:szCs w:val="24"/>
          <w:lang w:val="en-US" w:eastAsia="zh-CN" w:bidi="ar-SA"/>
        </w:rPr>
        <w:t>6</w:t>
      </w:r>
      <w:r>
        <w:rPr>
          <w:rFonts w:hint="eastAsia" w:ascii="宋体" w:hAnsi="宋体" w:eastAsia="宋体" w:cs="宋体"/>
          <w:color w:val="000000"/>
          <w:kern w:val="2"/>
          <w:sz w:val="24"/>
          <w:szCs w:val="24"/>
          <w:lang w:val="en-US" w:eastAsia="zh-CN" w:bidi="ar-SA"/>
        </w:rPr>
        <w:t>-202</w:t>
      </w:r>
      <w:r>
        <w:rPr>
          <w:rFonts w:hint="eastAsia" w:ascii="宋体" w:hAnsi="宋体" w:cs="宋体"/>
          <w:color w:val="000000"/>
          <w:kern w:val="2"/>
          <w:sz w:val="24"/>
          <w:szCs w:val="24"/>
          <w:lang w:val="en-US" w:eastAsia="zh-CN" w:bidi="ar-SA"/>
        </w:rPr>
        <w:t>7</w:t>
      </w:r>
      <w:r>
        <w:rPr>
          <w:rFonts w:hint="eastAsia" w:ascii="宋体" w:hAnsi="宋体" w:eastAsia="宋体" w:cs="宋体"/>
          <w:color w:val="000000"/>
          <w:kern w:val="2"/>
          <w:sz w:val="24"/>
          <w:szCs w:val="24"/>
          <w:lang w:val="en-US" w:eastAsia="zh-CN" w:bidi="ar-SA"/>
        </w:rPr>
        <w:t>年度校园责任险采购项目。</w:t>
      </w:r>
    </w:p>
    <w:p w14:paraId="14327B8F">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第二条、服务期限</w:t>
      </w:r>
    </w:p>
    <w:p w14:paraId="3ECAAD0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服务期限：1年</w:t>
      </w:r>
    </w:p>
    <w:p w14:paraId="64138916">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第三条、服务内容与质量标准</w:t>
      </w:r>
    </w:p>
    <w:p w14:paraId="22F1C2D0">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（一）投保范围和保费标准</w:t>
      </w:r>
    </w:p>
    <w:p w14:paraId="67D813C1">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1.校方责任险投保范围：</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w:t>
      </w:r>
    </w:p>
    <w:p w14:paraId="5724B0F0">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color w:val="000000"/>
          <w:sz w:val="24"/>
          <w:szCs w:val="24"/>
          <w:u w:val="none"/>
          <w:lang w:val="en-US" w:eastAsia="zh-CN"/>
        </w:rPr>
      </w:pPr>
      <w:r>
        <w:rPr>
          <w:rFonts w:hint="eastAsia" w:ascii="宋体" w:hAnsi="宋体" w:eastAsia="宋体" w:cs="宋体"/>
          <w:color w:val="000000"/>
          <w:sz w:val="24"/>
          <w:szCs w:val="24"/>
          <w:lang w:val="en-US" w:eastAsia="zh-CN"/>
        </w:rPr>
        <w:t>2.校方责任险的保费标准：</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w:t>
      </w:r>
    </w:p>
    <w:p w14:paraId="066D0CC0">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color w:val="000000"/>
          <w:sz w:val="24"/>
          <w:szCs w:val="24"/>
          <w:lang w:val="en-US" w:eastAsia="zh-CN"/>
        </w:rPr>
      </w:pPr>
      <w:r>
        <w:rPr>
          <w:rFonts w:hint="eastAsia" w:ascii="宋体" w:hAnsi="宋体" w:cs="宋体"/>
          <w:color w:val="000000"/>
          <w:sz w:val="24"/>
          <w:szCs w:val="24"/>
          <w:u w:val="none"/>
          <w:lang w:val="en-US" w:eastAsia="zh-CN"/>
        </w:rPr>
        <w:t>3.</w:t>
      </w:r>
      <w:r>
        <w:rPr>
          <w:rFonts w:hint="eastAsia" w:ascii="宋体" w:hAnsi="宋体" w:eastAsia="宋体" w:cs="宋体"/>
          <w:color w:val="000000"/>
          <w:sz w:val="24"/>
          <w:szCs w:val="24"/>
          <w:u w:val="none"/>
          <w:lang w:val="en-US" w:eastAsia="zh-CN"/>
        </w:rPr>
        <w:t>文体运动综合责任/研学旅行责任保险</w:t>
      </w:r>
      <w:r>
        <w:rPr>
          <w:rFonts w:hint="eastAsia" w:ascii="宋体" w:hAnsi="宋体" w:eastAsia="宋体" w:cs="宋体"/>
          <w:color w:val="000000"/>
          <w:sz w:val="24"/>
          <w:szCs w:val="24"/>
          <w:lang w:val="en-US" w:eastAsia="zh-CN"/>
        </w:rPr>
        <w:t>投保范围：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w:t>
      </w:r>
    </w:p>
    <w:p w14:paraId="21FD8AD4">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u w:val="none"/>
          <w:lang w:val="en-US" w:eastAsia="zh-CN"/>
        </w:rPr>
        <w:t>文体运动综合责任/研学旅行责任保险</w:t>
      </w:r>
      <w:r>
        <w:rPr>
          <w:rFonts w:hint="eastAsia" w:ascii="宋体" w:hAnsi="宋体" w:eastAsia="宋体" w:cs="宋体"/>
          <w:color w:val="000000"/>
          <w:sz w:val="24"/>
          <w:szCs w:val="24"/>
          <w:lang w:val="en-US" w:eastAsia="zh-CN"/>
        </w:rPr>
        <w:t>的保费标准：</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w:t>
      </w:r>
    </w:p>
    <w:p w14:paraId="3ECF34A6">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5.校方无过失责任险投保范围：</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w:t>
      </w:r>
    </w:p>
    <w:p w14:paraId="0175503E">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6.校方无过失责任险的保费标准：</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w:t>
      </w:r>
    </w:p>
    <w:p w14:paraId="66D0D177">
      <w:pPr>
        <w:pStyle w:val="7"/>
        <w:keepNext w:val="0"/>
        <w:keepLines w:val="0"/>
        <w:pageBreakBefore w:val="0"/>
        <w:widowControl w:val="0"/>
        <w:kinsoku/>
        <w:wordWrap w:val="0"/>
        <w:overflowPunct/>
        <w:topLinePunct/>
        <w:autoSpaceDE/>
        <w:autoSpaceDN/>
        <w:bidi w:val="0"/>
        <w:adjustRightInd/>
        <w:snapToGrid/>
        <w:spacing w:before="120" w:beforeLines="50" w:line="460" w:lineRule="exact"/>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（二）赔偿限额</w:t>
      </w:r>
    </w:p>
    <w:tbl>
      <w:tblPr>
        <w:tblStyle w:val="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1"/>
        <w:gridCol w:w="3698"/>
      </w:tblGrid>
      <w:tr w14:paraId="6061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5321" w:type="dxa"/>
            <w:noWrap w:val="0"/>
            <w:vAlign w:val="center"/>
          </w:tcPr>
          <w:p w14:paraId="10AC2DF8">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保险项目</w:t>
            </w:r>
          </w:p>
        </w:tc>
        <w:tc>
          <w:tcPr>
            <w:tcW w:w="3698" w:type="dxa"/>
            <w:noWrap w:val="0"/>
            <w:vAlign w:val="center"/>
          </w:tcPr>
          <w:p w14:paraId="5F1B2411">
            <w:pPr>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保险金额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单位：万元</w:t>
            </w:r>
            <w:r>
              <w:rPr>
                <w:rFonts w:hint="eastAsia" w:ascii="宋体" w:hAnsi="宋体" w:eastAsia="宋体" w:cs="宋体"/>
                <w:b/>
                <w:bCs/>
                <w:color w:val="auto"/>
                <w:sz w:val="24"/>
                <w:szCs w:val="24"/>
                <w:highlight w:val="none"/>
                <w:lang w:eastAsia="zh-CN"/>
              </w:rPr>
              <w:t>）</w:t>
            </w:r>
          </w:p>
        </w:tc>
      </w:tr>
      <w:tr w14:paraId="6E52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1CDBF96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每生每年累计赔偿限额（校方责任险）</w:t>
            </w:r>
          </w:p>
        </w:tc>
        <w:tc>
          <w:tcPr>
            <w:tcW w:w="3698" w:type="dxa"/>
            <w:noWrap w:val="0"/>
            <w:vAlign w:val="center"/>
          </w:tcPr>
          <w:p w14:paraId="1282C11B">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05A0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1AAB8AA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每所学校每次事故赔偿限额（校方责任险）</w:t>
            </w:r>
          </w:p>
        </w:tc>
        <w:tc>
          <w:tcPr>
            <w:tcW w:w="3698" w:type="dxa"/>
            <w:noWrap w:val="0"/>
            <w:vAlign w:val="center"/>
          </w:tcPr>
          <w:p w14:paraId="36E68B1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1A47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26EDD27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每生每年累计赔偿限额（文体运动综合责任/研学旅行责任保险）</w:t>
            </w:r>
          </w:p>
        </w:tc>
        <w:tc>
          <w:tcPr>
            <w:tcW w:w="3698" w:type="dxa"/>
            <w:noWrap w:val="0"/>
            <w:vAlign w:val="center"/>
          </w:tcPr>
          <w:p w14:paraId="033F4F0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3C7F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755A81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每所学校每次事故赔偿限额（文体运动综合责任/研学旅行责任保险）</w:t>
            </w:r>
          </w:p>
        </w:tc>
        <w:tc>
          <w:tcPr>
            <w:tcW w:w="3698" w:type="dxa"/>
            <w:noWrap w:val="0"/>
            <w:vAlign w:val="center"/>
          </w:tcPr>
          <w:p w14:paraId="08EE2A71">
            <w:pPr>
              <w:numPr>
                <w:ilvl w:val="0"/>
                <w:numId w:val="0"/>
              </w:numPr>
              <w:jc w:val="cente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03C4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79905AF8">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每生每年累计赔偿限额（校方无过失责任险）</w:t>
            </w:r>
          </w:p>
        </w:tc>
        <w:tc>
          <w:tcPr>
            <w:tcW w:w="3698" w:type="dxa"/>
            <w:noWrap w:val="0"/>
            <w:vAlign w:val="center"/>
          </w:tcPr>
          <w:p w14:paraId="132F1C09">
            <w:pPr>
              <w:numPr>
                <w:ilvl w:val="0"/>
                <w:numId w:val="0"/>
              </w:numPr>
              <w:jc w:val="cente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1194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noWrap w:val="0"/>
            <w:vAlign w:val="center"/>
          </w:tcPr>
          <w:p w14:paraId="22FB90E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每所学校每次事故赔偿限额（校方无过失责任险）</w:t>
            </w:r>
          </w:p>
        </w:tc>
        <w:tc>
          <w:tcPr>
            <w:tcW w:w="3698" w:type="dxa"/>
            <w:noWrap w:val="0"/>
            <w:vAlign w:val="center"/>
          </w:tcPr>
          <w:p w14:paraId="08D70654">
            <w:pPr>
              <w:numPr>
                <w:ilvl w:val="0"/>
                <w:numId w:val="0"/>
              </w:numPr>
              <w:jc w:val="cente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万</w:t>
            </w:r>
            <w:r>
              <w:rPr>
                <w:rFonts w:hint="eastAsia" w:ascii="宋体" w:hAnsi="宋体" w:eastAsia="宋体" w:cs="宋体"/>
                <w:color w:val="auto"/>
                <w:sz w:val="24"/>
                <w:szCs w:val="24"/>
                <w:highlight w:val="none"/>
              </w:rPr>
              <w:t>元</w:t>
            </w:r>
          </w:p>
        </w:tc>
      </w:tr>
      <w:tr w14:paraId="2DF9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shd w:val="clear" w:color="auto" w:fill="auto"/>
            <w:noWrap w:val="0"/>
            <w:vAlign w:val="center"/>
          </w:tcPr>
          <w:p w14:paraId="2E40D70B">
            <w:pPr>
              <w:widowControl/>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每所学校每年累计赔偿限额有无上限</w:t>
            </w:r>
          </w:p>
        </w:tc>
        <w:tc>
          <w:tcPr>
            <w:tcW w:w="3698" w:type="dxa"/>
            <w:shd w:val="clear" w:color="auto" w:fill="auto"/>
            <w:noWrap w:val="0"/>
            <w:vAlign w:val="center"/>
          </w:tcPr>
          <w:p w14:paraId="4948A721">
            <w:pPr>
              <w:widowControl/>
              <w:spacing w:line="360" w:lineRule="auto"/>
              <w:jc w:val="center"/>
              <w:rPr>
                <w:rFonts w:hint="eastAsia" w:ascii="宋体" w:hAnsi="宋体" w:eastAsia="宋体" w:cs="宋体"/>
                <w:kern w:val="2"/>
                <w:sz w:val="24"/>
                <w:szCs w:val="24"/>
                <w:u w:val="single"/>
                <w:lang w:val="en-US" w:eastAsia="zh-CN" w:bidi="ar-SA"/>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lang w:bidi="ar"/>
              </w:rPr>
              <w:t>（有或无）</w:t>
            </w:r>
          </w:p>
        </w:tc>
      </w:tr>
      <w:tr w14:paraId="0EA7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1" w:type="dxa"/>
            <w:shd w:val="clear" w:color="auto" w:fill="auto"/>
            <w:noWrap w:val="0"/>
            <w:vAlign w:val="center"/>
          </w:tcPr>
          <w:p w14:paraId="07E8D3C3">
            <w:pPr>
              <w:widowControl/>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以上所有赔偿项目有无免赔额</w:t>
            </w:r>
          </w:p>
        </w:tc>
        <w:tc>
          <w:tcPr>
            <w:tcW w:w="3698" w:type="dxa"/>
            <w:shd w:val="clear" w:color="auto" w:fill="auto"/>
            <w:noWrap w:val="0"/>
            <w:vAlign w:val="center"/>
          </w:tcPr>
          <w:p w14:paraId="29853B0C">
            <w:pPr>
              <w:widowControl/>
              <w:spacing w:line="360" w:lineRule="auto"/>
              <w:jc w:val="center"/>
              <w:rPr>
                <w:rFonts w:hint="eastAsia" w:ascii="宋体" w:hAnsi="宋体" w:eastAsia="宋体" w:cs="宋体"/>
                <w:kern w:val="2"/>
                <w:sz w:val="24"/>
                <w:szCs w:val="24"/>
                <w:u w:val="single"/>
                <w:lang w:val="en-US" w:eastAsia="zh-CN" w:bidi="ar-SA"/>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lang w:bidi="ar"/>
              </w:rPr>
              <w:t>（有或无）</w:t>
            </w:r>
          </w:p>
        </w:tc>
      </w:tr>
    </w:tbl>
    <w:p w14:paraId="062EF4F2">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第四条、服务费用及支付方式</w:t>
      </w:r>
    </w:p>
    <w:p w14:paraId="66B7E1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1.服务费按下列比例支付价款：</w:t>
      </w:r>
    </w:p>
    <w:p w14:paraId="58CA95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服务总费用为人民币（大写）：</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 xml:space="preserve"> 元，￥</w:t>
      </w:r>
      <w:r>
        <w:rPr>
          <w:rFonts w:hint="eastAsia" w:ascii="宋体" w:hAnsi="宋体" w:eastAsia="宋体" w:cs="宋体"/>
          <w:b w:val="0"/>
          <w:bCs w:val="0"/>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w:t>
      </w:r>
    </w:p>
    <w:p w14:paraId="060DDA9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被保险学校按实际注册学生数于合同签订后按每学年度结算。</w:t>
      </w:r>
    </w:p>
    <w:p w14:paraId="26FF789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2.乙方须向甲方出具合法有效的完税发票，甲方进行支付结算。</w:t>
      </w:r>
    </w:p>
    <w:p w14:paraId="76D499E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3.结算方式：银行转账。</w:t>
      </w:r>
    </w:p>
    <w:p w14:paraId="6F29056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4.结算单位：由甲方负责结算，付款前乙方向甲方开具全额发票。</w:t>
      </w:r>
      <w:bookmarkStart w:id="4" w:name="_GoBack"/>
      <w:bookmarkEnd w:id="4"/>
    </w:p>
    <w:p w14:paraId="70A25956">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第五条、知识产权（若有）</w:t>
      </w:r>
    </w:p>
    <w:p w14:paraId="09F7807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乙方应保证所提供的服务或其任何一部分均不会侵犯任何第三方的专利权、商标权或著作权。</w:t>
      </w:r>
    </w:p>
    <w:p w14:paraId="3F57E78B">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第六条、无产权瑕疵条款（如有）</w:t>
      </w:r>
    </w:p>
    <w:p w14:paraId="27B2E0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13E95C6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第七条、甲方的权利和义务</w:t>
      </w:r>
    </w:p>
    <w:p w14:paraId="49DDB9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1.甲方有权对合同规定范围内乙方的服务行为进行监督和检查，拥有监管权。有权定期核对乙方提供服务所配备的人员数量。对甲方认为不合理的部分有权下达整改通知书，并要求乙方限期整改。</w:t>
      </w:r>
    </w:p>
    <w:p w14:paraId="394ABFC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2.甲方有权依据双方签订的考评办法对乙方提供的服务进行定期考评。</w:t>
      </w:r>
    </w:p>
    <w:p w14:paraId="56C18A7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3.负责检查监督乙方管理工作的实施及制度的执行情况。</w:t>
      </w:r>
    </w:p>
    <w:p w14:paraId="3F66F9F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4.根据本合同规定，按时向乙方支付应付服务费用。</w:t>
      </w:r>
    </w:p>
    <w:p w14:paraId="247FBB2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5.国家法律、法规所规定由甲方承担的其它责任。</w:t>
      </w:r>
    </w:p>
    <w:p w14:paraId="5928925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第八条、乙方的权利和义务</w:t>
      </w:r>
    </w:p>
    <w:p w14:paraId="32347D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1.对本合同规定的委托服务范围内的项目享有管理权及服务义务。</w:t>
      </w:r>
    </w:p>
    <w:p w14:paraId="2CE837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2.根据本合同的规定向甲方收取相关服务费用，并有权在本项目管理范围内管理及合理使用。</w:t>
      </w:r>
    </w:p>
    <w:p w14:paraId="380EA4C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3.及时向甲方通告本项目服务范围内有关服务的重大事项，及时配合处理投诉。</w:t>
      </w:r>
    </w:p>
    <w:p w14:paraId="76E3BF0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4.接受项目行业管理部门及政府有关部门的指导，接受甲方的监督。</w:t>
      </w:r>
    </w:p>
    <w:p w14:paraId="01F581B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5.国家法律、法规所规定由乙方承担的其它责任。</w:t>
      </w:r>
    </w:p>
    <w:p w14:paraId="74A4911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第九条、业务管理</w:t>
      </w:r>
    </w:p>
    <w:p w14:paraId="094943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1.根据甲方的要求及时报送《西安市莲湖区教育局校方责任保险情况汇总表》、《西安市莲湖区教育局校方责任保险赔款情况汇总表》，承诺统计填报的承保情况数据资料准确、完整，无隐瞒；</w:t>
      </w:r>
    </w:p>
    <w:p w14:paraId="6C8CDF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2.按照教育局的要求，为被保险学校建立专门的档案，执行业务管理所需的相关手续，开展跟踪服务。</w:t>
      </w:r>
    </w:p>
    <w:p w14:paraId="1F5BE47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第十条、违约责任</w:t>
      </w:r>
    </w:p>
    <w:p w14:paraId="376BE9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1.甲乙双方必须遵守本合同并执行合同中的各项规定，保证本合同的正常履行。</w:t>
      </w:r>
    </w:p>
    <w:p w14:paraId="5D4331F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7BB6890">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第十一条、不可抗力事件处理</w:t>
      </w:r>
    </w:p>
    <w:p w14:paraId="1A32AB7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1.在合同有效期内，任何一方因不可抗力事件导致不能履行合同，则合同履行期可延长，其延长期与不可抗力影响期相同。</w:t>
      </w:r>
    </w:p>
    <w:p w14:paraId="746F0E6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2.不可抗力事件发生后，应立即通知对方，并寄送有关权威机构出具的证明。</w:t>
      </w:r>
    </w:p>
    <w:p w14:paraId="2C1607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3.不可抗力事件延续</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天以上，双方应通过友好协商，确定是否继续履行合同。</w:t>
      </w:r>
    </w:p>
    <w:p w14:paraId="70B8E76A">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第十二条、合同的变更和终止</w:t>
      </w:r>
    </w:p>
    <w:p w14:paraId="776288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除《中华人民共和国政府采购法》第49条、第50条第二款规定的情形外，本合同一经签订，甲乙双方不得擅自变更、中止或终止合同。</w:t>
      </w:r>
    </w:p>
    <w:p w14:paraId="1040E33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第十三条、解决合同纠纷的方式</w:t>
      </w:r>
    </w:p>
    <w:p w14:paraId="6FACF87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1、在执行本合同中发生的或与本合同有关的争端，双方应通过友好协商解决，经协商在</w:t>
      </w:r>
      <w:r>
        <w:rPr>
          <w:rFonts w:hint="eastAsia" w:ascii="宋体" w:hAnsi="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天内不能达成协议时，则采取以下第</w:t>
      </w:r>
      <w:r>
        <w:rPr>
          <w:rFonts w:hint="eastAsia" w:ascii="宋体" w:hAnsi="宋体" w:eastAsia="宋体" w:cs="宋体"/>
          <w:color w:val="000000"/>
          <w:kern w:val="2"/>
          <w:sz w:val="24"/>
          <w:szCs w:val="24"/>
          <w:u w:val="single"/>
          <w:lang w:val="en-US" w:eastAsia="zh-CN" w:bidi="ar-SA"/>
        </w:rPr>
        <w:t xml:space="preserve"> 1 </w:t>
      </w:r>
      <w:r>
        <w:rPr>
          <w:rFonts w:hint="eastAsia" w:ascii="宋体" w:hAnsi="宋体" w:eastAsia="宋体" w:cs="宋体"/>
          <w:color w:val="000000"/>
          <w:kern w:val="2"/>
          <w:sz w:val="24"/>
          <w:szCs w:val="24"/>
          <w:lang w:val="en-US" w:eastAsia="zh-CN" w:bidi="ar-SA"/>
        </w:rPr>
        <w:t>种方式解决争议：</w:t>
      </w:r>
    </w:p>
    <w:p w14:paraId="07EE00D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（1）向甲方所在地有管辖权的人民法院提起诉讼；</w:t>
      </w:r>
    </w:p>
    <w:p w14:paraId="0628D2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（2）向</w:t>
      </w:r>
      <w:r>
        <w:rPr>
          <w:rFonts w:hint="eastAsia" w:ascii="宋体" w:hAnsi="宋体" w:eastAsia="宋体" w:cs="宋体"/>
          <w:color w:val="000000"/>
          <w:kern w:val="2"/>
          <w:sz w:val="24"/>
          <w:szCs w:val="24"/>
          <w:u w:val="single"/>
          <w:lang w:val="en-US" w:eastAsia="zh-CN" w:bidi="ar-SA"/>
        </w:rPr>
        <w:t xml:space="preserve"> 西安 </w:t>
      </w:r>
      <w:r>
        <w:rPr>
          <w:rFonts w:hint="eastAsia" w:ascii="宋体" w:hAnsi="宋体" w:eastAsia="宋体" w:cs="宋体"/>
          <w:color w:val="000000"/>
          <w:kern w:val="2"/>
          <w:sz w:val="24"/>
          <w:szCs w:val="24"/>
          <w:lang w:val="en-US" w:eastAsia="zh-CN" w:bidi="ar-SA"/>
        </w:rPr>
        <w:t>仲裁委员会按其仲裁规则申请仲裁。</w:t>
      </w:r>
    </w:p>
    <w:p w14:paraId="15DEC2E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2、在仲裁期间，本合同应继续履行。</w:t>
      </w:r>
    </w:p>
    <w:p w14:paraId="3675FFC6">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第十四条、合同生效及其他</w:t>
      </w:r>
    </w:p>
    <w:p w14:paraId="2433948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1、合同经双方法定代表人（单位负责人）或授权委托代理人签字并加盖单位公章并由采购代理机构盖章后生效。</w:t>
      </w:r>
    </w:p>
    <w:p w14:paraId="71BB807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2、合同执行中涉及采购资金和采购内容修改或补充的，须经政府采购监管部门审批，并签书面补充协议报政府采购监督管理部门备案，方可作为主合同不可分割的一部分。</w:t>
      </w:r>
    </w:p>
    <w:p w14:paraId="6D619CC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3、本合同一式陆份，自双方签章之日起起效。甲方贰份，乙方贰份，政府采购代理机构壹份，同级财政部门备案壹份，具有同等法律效力。</w:t>
      </w:r>
    </w:p>
    <w:p w14:paraId="4442E9C7">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第十五条  附件</w:t>
      </w:r>
    </w:p>
    <w:p w14:paraId="19B3D80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1、竞争性磋商文件</w:t>
      </w:r>
    </w:p>
    <w:p w14:paraId="1F5949B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2、修改澄清文件</w:t>
      </w:r>
    </w:p>
    <w:p w14:paraId="2E4DA89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3、竞争性磋商响应文件</w:t>
      </w:r>
    </w:p>
    <w:p w14:paraId="43F0EA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4、成交通知书</w:t>
      </w:r>
    </w:p>
    <w:p w14:paraId="4B03A91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5、其他 </w:t>
      </w:r>
    </w:p>
    <w:p w14:paraId="722F0A21">
      <w:pPr>
        <w:spacing w:line="520" w:lineRule="exact"/>
        <w:rPr>
          <w:rFonts w:hint="eastAsia" w:ascii="宋体" w:hAnsi="宋体" w:eastAsia="宋体" w:cs="宋体"/>
          <w:color w:val="000000"/>
          <w:kern w:val="2"/>
          <w:sz w:val="24"/>
          <w:szCs w:val="24"/>
          <w:lang w:val="en-US" w:eastAsia="zh-CN" w:bidi="ar-SA"/>
        </w:rPr>
      </w:pPr>
    </w:p>
    <w:p w14:paraId="49555E4F">
      <w:pPr>
        <w:spacing w:line="520" w:lineRule="exact"/>
        <w:rPr>
          <w:rFonts w:hint="eastAsia" w:ascii="宋体" w:hAnsi="宋体" w:eastAsia="宋体" w:cs="宋体"/>
          <w:color w:val="000000"/>
          <w:kern w:val="2"/>
          <w:sz w:val="24"/>
          <w:szCs w:val="24"/>
          <w:lang w:val="en-US" w:eastAsia="zh-CN" w:bidi="ar-SA"/>
        </w:rPr>
      </w:pPr>
    </w:p>
    <w:p w14:paraId="7473B0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甲方：</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 xml:space="preserve">（盖章）   </w:t>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 xml:space="preserve">     </w:t>
      </w:r>
      <w:r>
        <w:rPr>
          <w:rFonts w:hint="eastAsia" w:ascii="宋体" w:hAnsi="宋体" w:cs="宋体"/>
          <w:color w:val="000000"/>
          <w:kern w:val="2"/>
          <w:sz w:val="24"/>
          <w:szCs w:val="24"/>
          <w:lang w:val="en-US" w:eastAsia="zh-CN" w:bidi="ar-SA"/>
        </w:rPr>
        <w:t xml:space="preserve">  </w:t>
      </w:r>
      <w:r>
        <w:rPr>
          <w:rFonts w:hint="eastAsia" w:ascii="宋体" w:hAnsi="宋体" w:eastAsia="宋体" w:cs="宋体"/>
          <w:color w:val="000000"/>
          <w:kern w:val="2"/>
          <w:sz w:val="24"/>
          <w:szCs w:val="24"/>
          <w:lang w:val="en-US" w:eastAsia="zh-CN" w:bidi="ar-SA"/>
        </w:rPr>
        <w:t>乙方：</w:t>
      </w:r>
      <w:r>
        <w:rPr>
          <w:rFonts w:hint="eastAsia" w:ascii="宋体" w:hAnsi="宋体" w:eastAsia="宋体" w:cs="宋体"/>
          <w:color w:val="000000"/>
          <w:kern w:val="2"/>
          <w:sz w:val="24"/>
          <w:szCs w:val="24"/>
          <w:u w:val="single"/>
          <w:lang w:val="en-US" w:eastAsia="zh-CN" w:bidi="ar-SA"/>
        </w:rPr>
        <w:t xml:space="preserve">           </w:t>
      </w:r>
      <w:r>
        <w:rPr>
          <w:rFonts w:hint="eastAsia" w:ascii="宋体" w:hAnsi="宋体" w:eastAsia="宋体" w:cs="宋体"/>
          <w:color w:val="000000"/>
          <w:kern w:val="2"/>
          <w:sz w:val="24"/>
          <w:szCs w:val="24"/>
          <w:lang w:val="en-US" w:eastAsia="zh-CN" w:bidi="ar-SA"/>
        </w:rPr>
        <w:t>（盖章）</w:t>
      </w:r>
    </w:p>
    <w:p w14:paraId="63F6A8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法定代表人（单位负责人）（</w:t>
      </w:r>
      <w:r>
        <w:rPr>
          <w:rFonts w:hint="eastAsia" w:ascii="宋体" w:hAnsi="宋体" w:cs="宋体"/>
          <w:color w:val="000000"/>
          <w:kern w:val="2"/>
          <w:sz w:val="24"/>
          <w:szCs w:val="24"/>
          <w:lang w:val="en-US" w:eastAsia="zh-CN" w:bidi="ar-SA"/>
        </w:rPr>
        <w:t>签字或盖章</w:t>
      </w:r>
      <w:r>
        <w:rPr>
          <w:rFonts w:hint="eastAsia" w:ascii="宋体" w:hAnsi="宋体" w:eastAsia="宋体" w:cs="宋体"/>
          <w:color w:val="000000"/>
          <w:kern w:val="2"/>
          <w:sz w:val="24"/>
          <w:szCs w:val="24"/>
          <w:lang w:val="en-US" w:eastAsia="zh-CN" w:bidi="ar-SA"/>
        </w:rPr>
        <w:t>）：       法定代表人（单位负责人）（</w:t>
      </w:r>
      <w:r>
        <w:rPr>
          <w:rFonts w:hint="eastAsia" w:ascii="宋体" w:hAnsi="宋体" w:cs="宋体"/>
          <w:color w:val="000000"/>
          <w:kern w:val="2"/>
          <w:sz w:val="24"/>
          <w:szCs w:val="24"/>
          <w:lang w:val="en-US" w:eastAsia="zh-CN" w:bidi="ar-SA"/>
        </w:rPr>
        <w:t>签字或盖章</w:t>
      </w:r>
      <w:r>
        <w:rPr>
          <w:rFonts w:hint="eastAsia" w:ascii="宋体" w:hAnsi="宋体" w:eastAsia="宋体" w:cs="宋体"/>
          <w:color w:val="000000"/>
          <w:kern w:val="2"/>
          <w:sz w:val="24"/>
          <w:szCs w:val="24"/>
          <w:lang w:val="en-US" w:eastAsia="zh-CN" w:bidi="ar-SA"/>
        </w:rPr>
        <w:t>）：</w:t>
      </w:r>
    </w:p>
    <w:p w14:paraId="0BCA2C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授权代表</w:t>
      </w:r>
      <w:r>
        <w:rPr>
          <w:rFonts w:hint="eastAsia" w:ascii="宋体" w:hAnsi="宋体" w:cs="宋体"/>
          <w:color w:val="000000"/>
          <w:kern w:val="2"/>
          <w:sz w:val="24"/>
          <w:szCs w:val="24"/>
          <w:lang w:val="en-US" w:eastAsia="zh-CN" w:bidi="ar-SA"/>
        </w:rPr>
        <w:t xml:space="preserve">：（签字或盖章）                      </w:t>
      </w:r>
      <w:r>
        <w:rPr>
          <w:rFonts w:hint="eastAsia" w:ascii="宋体" w:hAnsi="宋体" w:eastAsia="宋体" w:cs="宋体"/>
          <w:color w:val="000000"/>
          <w:kern w:val="2"/>
          <w:sz w:val="24"/>
          <w:szCs w:val="24"/>
          <w:lang w:val="en-US" w:eastAsia="zh-CN" w:bidi="ar-SA"/>
        </w:rPr>
        <w:t>授权代表</w:t>
      </w:r>
      <w:r>
        <w:rPr>
          <w:rFonts w:hint="eastAsia" w:ascii="宋体" w:hAnsi="宋体" w:cs="宋体"/>
          <w:color w:val="000000"/>
          <w:kern w:val="2"/>
          <w:sz w:val="24"/>
          <w:szCs w:val="24"/>
          <w:lang w:val="en-US" w:eastAsia="zh-CN" w:bidi="ar-SA"/>
        </w:rPr>
        <w:t>：（签字或盖章）</w:t>
      </w:r>
    </w:p>
    <w:p w14:paraId="4BA57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地    址：                                   地    址：</w:t>
      </w:r>
    </w:p>
    <w:p w14:paraId="0C8EB8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开户银行：                                   开户银行：</w:t>
      </w:r>
    </w:p>
    <w:p w14:paraId="233A72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账    号：                                   账    号：</w:t>
      </w:r>
    </w:p>
    <w:p w14:paraId="480E22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电    话：                                    电    话：</w:t>
      </w:r>
    </w:p>
    <w:p w14:paraId="6A2C16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传    真：                                    传    真：</w:t>
      </w:r>
    </w:p>
    <w:p w14:paraId="0A1E2F0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sz w:val="24"/>
          <w:highlight w:val="none"/>
        </w:rPr>
      </w:pPr>
      <w:r>
        <w:rPr>
          <w:rFonts w:hint="eastAsia" w:ascii="宋体" w:hAnsi="宋体" w:eastAsia="宋体" w:cs="宋体"/>
          <w:color w:val="000000"/>
          <w:kern w:val="2"/>
          <w:sz w:val="24"/>
          <w:szCs w:val="24"/>
          <w:lang w:val="en-US" w:eastAsia="zh-CN" w:bidi="ar-SA"/>
        </w:rPr>
        <w:t xml:space="preserve">签订日期：   年   月   日 </w:t>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ab/>
      </w:r>
      <w:r>
        <w:rPr>
          <w:rFonts w:hint="eastAsia" w:ascii="宋体" w:hAnsi="宋体" w:eastAsia="宋体" w:cs="宋体"/>
          <w:color w:val="000000"/>
          <w:kern w:val="2"/>
          <w:sz w:val="24"/>
          <w:szCs w:val="24"/>
          <w:lang w:val="en-US" w:eastAsia="zh-CN" w:bidi="ar-SA"/>
        </w:rPr>
        <w:t xml:space="preserve">           签约日期：   年   月   日 </w:t>
      </w:r>
    </w:p>
    <w:p w14:paraId="4F785595"/>
    <w:sectPr>
      <w:pgSz w:w="11906" w:h="16838"/>
      <w:pgMar w:top="873" w:right="873" w:bottom="873" w:left="87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YWI4YTBmMzJlNWI0MWY2MjZmNzg1N2ViZDE5MWUifQ=="/>
  </w:docVars>
  <w:rsids>
    <w:rsidRoot w:val="08F46F09"/>
    <w:rsid w:val="07A91B14"/>
    <w:rsid w:val="08F46F09"/>
    <w:rsid w:val="0DB628F9"/>
    <w:rsid w:val="13494432"/>
    <w:rsid w:val="41962EF5"/>
    <w:rsid w:val="54C94F38"/>
    <w:rsid w:val="68184B53"/>
    <w:rsid w:val="75504B8E"/>
    <w:rsid w:val="75D25711"/>
    <w:rsid w:val="77133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0"/>
    <w:pPr>
      <w:ind w:firstLine="560" w:firstLineChars="200"/>
    </w:pPr>
    <w:rPr>
      <w:sz w:val="28"/>
    </w:rPr>
  </w:style>
  <w:style w:type="paragraph" w:styleId="4">
    <w:name w:val="footer"/>
    <w:basedOn w:val="1"/>
    <w:next w:val="1"/>
    <w:qFormat/>
    <w:uiPriority w:val="0"/>
    <w:pPr>
      <w:tabs>
        <w:tab w:val="center" w:pos="4153"/>
        <w:tab w:val="right" w:pos="8306"/>
      </w:tabs>
      <w:snapToGrid w:val="0"/>
      <w:jc w:val="left"/>
    </w:pPr>
    <w:rPr>
      <w:sz w:val="18"/>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2062</Words>
  <Characters>2121</Characters>
  <Lines>0</Lines>
  <Paragraphs>0</Paragraphs>
  <TotalTime>0</TotalTime>
  <ScaleCrop>false</ScaleCrop>
  <LinksUpToDate>false</LinksUpToDate>
  <CharactersWithSpaces>2712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2024-07-15T03:01:00Z</dcterms:created>
  <dc:creator>李蹊</dc:creator>
  <cp:lastModifiedBy>李蹊</cp:lastModifiedBy>
  <dcterms:modified xsi:type="dcterms:W3CDTF">2026-07-07T07:59:30Z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278BA305036B4D5ABBC7D769542ED4C4_11</vt:lpwstr>
  </property>
  <property fmtid="{D5CDD505-2E9C-101B-9397-08002B2CF9AE}" pid="4" name="KSOTemplateDocerSaveRecord">
    <vt:lpwstr>eyJoZGlkIjoiYWQ0MzVhZDQ0NzMyMDg5NzM3NzNmZWI4NmIxZDVlMjQiLCJ1c2VySWQiOiIyMDMxMDgyMDUifQ==</vt:lpwstr>
  </property>
</Properties>
</file>