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版本号：ZHZB-2026-3620260520001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安防系统维保服务项目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ZHZB-2026-36</w:t>
      </w:r>
      <w:r>
        <w:br/>
      </w:r>
      <w:r>
        <w:br/>
      </w:r>
      <w:r>
        <w:br/>
      </w:r>
    </w:p>
    <w:p>
      <w:pPr>
        <w:pStyle w:val="null3"/>
        <w:jc w:val="center"/>
        <w:outlineLvl w:val="2"/>
      </w:pPr>
      <w:r>
        <w:rPr>
          <w:rFonts w:ascii="仿宋_GB2312" w:hAnsi="仿宋_GB2312" w:cs="仿宋_GB2312" w:eastAsia="仿宋_GB2312"/>
          <w:sz w:val="28"/>
          <w:b/>
        </w:rPr>
        <w:t>西安博物院</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西安博物院</w:t>
      </w:r>
      <w:r>
        <w:rPr>
          <w:rFonts w:ascii="仿宋_GB2312" w:hAnsi="仿宋_GB2312" w:cs="仿宋_GB2312" w:eastAsia="仿宋_GB2312"/>
        </w:rPr>
        <w:t>委托，拟对</w:t>
      </w:r>
      <w:r>
        <w:rPr>
          <w:rFonts w:ascii="仿宋_GB2312" w:hAnsi="仿宋_GB2312" w:cs="仿宋_GB2312" w:eastAsia="仿宋_GB2312"/>
        </w:rPr>
        <w:t>安防系统维保服务项目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安防系统维保服务项目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对西安博物院安防系统的全部子系统、线路设备等进行维修保养，保障安防系统正常运行、定期定时巡查、设备保养，对出现故障或损坏设备进行维修或更换。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采购包1（安防系统维保服务项目）：属于专门面向中小企业采购。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年度或2025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029-87895933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规定的标准收取，不足陆仟伍佰元按照陆仟伍佰元（¥6500.00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西安博物院</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对西安博物院安防系统的全部子系统、线路设备等进行维修保养，保障安防系统正常运行、定期定时巡查、设备保养，对出现故障或损坏设备进行维修或更换。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安防系统维保服务项目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标的名称：安防系统维保服务项目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color w:val="0000FF"/>
              </w:rPr>
              <w:t>一、服务内容</w:t>
            </w:r>
          </w:p>
          <w:p>
            <w:pPr>
              <w:pStyle w:val="null3"/>
              <w:ind w:firstLine="400"/>
              <w:jc w:val="both"/>
            </w:pPr>
            <w:r>
              <w:rPr>
                <w:rFonts w:ascii="仿宋_GB2312" w:hAnsi="仿宋_GB2312" w:cs="仿宋_GB2312" w:eastAsia="仿宋_GB2312"/>
                <w:sz w:val="20"/>
                <w:color w:val="0000FF"/>
              </w:rPr>
              <w:t>对西安博物院安防系统进行维护与保养，保证安防系统的稳定运行。包括日常的设备维护与保养，线路的检查，故障设备的维修与更换等。重大节假日对安防系统进行提前检查，必要时安排专人值守确保系统正常运行。对使用单位值班人员进行培训，保证其能够熟练操作系统平台软件，处理简单的系统故障。系统出现故障或出现突发事件时，应有必要的应急预案。系统运行过程中，提供必要的技术支持和备品备件。</w:t>
            </w:r>
          </w:p>
          <w:p>
            <w:pPr>
              <w:pStyle w:val="null3"/>
              <w:ind w:firstLine="400"/>
              <w:jc w:val="both"/>
            </w:pPr>
            <w:r>
              <w:rPr>
                <w:rFonts w:ascii="仿宋_GB2312" w:hAnsi="仿宋_GB2312" w:cs="仿宋_GB2312" w:eastAsia="仿宋_GB2312"/>
                <w:sz w:val="20"/>
                <w:color w:val="0000FF"/>
              </w:rPr>
              <w:t>二、服务要求</w:t>
            </w:r>
          </w:p>
          <w:p>
            <w:pPr>
              <w:pStyle w:val="null3"/>
              <w:ind w:firstLine="400"/>
              <w:jc w:val="both"/>
            </w:pPr>
            <w:r>
              <w:rPr>
                <w:rFonts w:ascii="仿宋_GB2312" w:hAnsi="仿宋_GB2312" w:cs="仿宋_GB2312" w:eastAsia="仿宋_GB2312"/>
                <w:sz w:val="20"/>
                <w:color w:val="0000FF"/>
              </w:rPr>
              <w:t>维保要求：</w:t>
            </w:r>
          </w:p>
          <w:p>
            <w:pPr>
              <w:pStyle w:val="null3"/>
              <w:ind w:firstLine="400"/>
              <w:jc w:val="both"/>
            </w:pPr>
            <w:r>
              <w:rPr>
                <w:rFonts w:ascii="仿宋_GB2312" w:hAnsi="仿宋_GB2312" w:cs="仿宋_GB2312" w:eastAsia="仿宋_GB2312"/>
                <w:sz w:val="20"/>
                <w:color w:val="0000FF"/>
              </w:rPr>
              <w:t>1. 定期检查</w:t>
            </w:r>
          </w:p>
          <w:p>
            <w:pPr>
              <w:pStyle w:val="null3"/>
              <w:ind w:firstLine="400"/>
              <w:jc w:val="both"/>
            </w:pPr>
            <w:r>
              <w:rPr>
                <w:rFonts w:ascii="仿宋_GB2312" w:hAnsi="仿宋_GB2312" w:cs="仿宋_GB2312" w:eastAsia="仿宋_GB2312"/>
                <w:sz w:val="20"/>
                <w:color w:val="0000FF"/>
              </w:rPr>
              <w:t>定期检查分为月检查和季度检查。</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1）月检查：由项目经理组织，维保单位派相关人员参加，对各子系统进行功能检查，由项目经理编写测试报告报维保单位审批备案。</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2）季度检查：维保单位由项目经理组织相关人员参加，邀请建设单位相关人员参加对月查工作进行督促和检查。</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3）所有检查资料以文件、表格形式存档备查，问题整改落实要有反馈及可追溯性。</w:t>
            </w:r>
          </w:p>
          <w:p>
            <w:pPr>
              <w:pStyle w:val="null3"/>
              <w:ind w:firstLine="400"/>
              <w:jc w:val="both"/>
            </w:pPr>
            <w:r>
              <w:rPr>
                <w:rFonts w:ascii="仿宋_GB2312" w:hAnsi="仿宋_GB2312" w:cs="仿宋_GB2312" w:eastAsia="仿宋_GB2312"/>
                <w:sz w:val="20"/>
                <w:color w:val="0000FF"/>
              </w:rPr>
              <w:t>2. 一般维护计划</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1）每季度一次设备的除尘、清理，扫净监控设备显露的尘土，对摄像机、防护罩、报警探头、显示屏等部件要进行除尘，之后用无水酒精棉将各个镜头擦干净，调整清晰度，防止由于机器运转、静电等因素将尘土吸入监控设备机体内，确保机器正常运行。同时检查监控机房通风、散热、净尘、供电等设施。室外温度应在－20 ℃～＋60℃，相对湿度应在10％～100％；室内温度应控制</w:t>
            </w:r>
          </w:p>
          <w:p>
            <w:pPr>
              <w:pStyle w:val="null3"/>
              <w:ind w:firstLine="400"/>
              <w:jc w:val="both"/>
            </w:pPr>
            <w:r>
              <w:rPr>
                <w:rFonts w:ascii="仿宋_GB2312" w:hAnsi="仿宋_GB2312" w:cs="仿宋_GB2312" w:eastAsia="仿宋_GB2312"/>
                <w:sz w:val="20"/>
                <w:color w:val="0000FF"/>
              </w:rPr>
              <w:t>在＋</w:t>
            </w:r>
            <w:r>
              <w:rPr>
                <w:rFonts w:ascii="仿宋_GB2312" w:hAnsi="仿宋_GB2312" w:cs="仿宋_GB2312" w:eastAsia="仿宋_GB2312"/>
                <w:sz w:val="20"/>
                <w:color w:val="0000FF"/>
              </w:rPr>
              <w:t>5℃～＋35℃，相对湿度应控制在10％～80％，留给机房监控设备一个良好的运行环境。</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2）根据系统各部分设备的使用说明，每月检测其各项技术参数及系统传输线路质量，处理故障隐患，协助主管设定使用级别等各种数据，确保各部分设备各项功能良好，能够正常运行。</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3）对容易老化的设备部件每月一次进行全面检查，一旦发现老化现象应及时更换、维修，如视频头、水晶头、光纤跳线、显示设备等。</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4）对易吸尘部分每季度定期清理一次，如拼接屏暴露在空气中，由于屏幕的静电作用，会有许多灰尘被吸附在拼接屏表面，影响画面的清晰度，要定期擦拭拼接屏，校对拼接屏的颜色及亮度。</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5）对长时间工作的设备每月定期维保一次，如计算机、硬盘录像机、巡更服务器等长时间工作会产生较多的热量，一旦其电风扇有故障，会影响排热，以免计算机、硬盘录像机和服务器等工作不正常。</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6）每月定期对各系统和设备进行优化：监控控制软件、巡更软件、控制软件故障排除及恢复、病毒防范及消除、硬盘垃圾清理、电脑外设安装调试、系统安装调试与维护、应急、系统恢复及日常维护、消防自动报警系统等；协助处理服务器软硬件故障及进行相关硬件软件的拆装等（视现场情况和需求定）。</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7）为确保发现问题能够及时维修。维保单位安排固定专业技术人员，长期为用户提供技术服务，定期对用户进行回访，提供每季度一次的定期信息服务：每季度第一个工作日，将上季度抢修、维修、维护、保养记录表以电子文档的形式报送监控中心负责人。</w:t>
            </w:r>
          </w:p>
          <w:tbl>
            <w:tblPr>
              <w:tblInd w:type="dxa" w:w="120"/>
              <w:tblBorders>
                <w:top w:val="none" w:color="000000" w:sz="4"/>
                <w:left w:val="none" w:color="000000" w:sz="4"/>
                <w:bottom w:val="none" w:color="000000" w:sz="4"/>
                <w:right w:val="none" w:color="000000" w:sz="4"/>
                <w:insideH w:val="none"/>
                <w:insideV w:val="none"/>
              </w:tblBorders>
            </w:tblPr>
            <w:tblGrid>
              <w:gridCol w:w="215"/>
              <w:gridCol w:w="630"/>
              <w:gridCol w:w="420"/>
              <w:gridCol w:w="420"/>
              <w:gridCol w:w="425"/>
              <w:gridCol w:w="425"/>
            </w:tblGrid>
            <w:tr>
              <w:tc>
                <w:tcPr>
                  <w:tcW w:type="dxa" w:w="253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FF"/>
                    </w:rPr>
                    <w:t>维保设备清单</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序号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名称及规格</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品牌</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规格型号</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数量</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防撬开关国产</w:t>
                  </w:r>
                  <w:r>
                    <w:rPr>
                      <w:rFonts w:ascii="仿宋_GB2312" w:hAnsi="仿宋_GB2312" w:cs="仿宋_GB2312" w:eastAsia="仿宋_GB2312"/>
                      <w:sz w:val="20"/>
                      <w:color w:val="0000FF"/>
                    </w:rPr>
                    <w:t>/定制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国产</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出门按钮</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EB29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光缆终端盒</w:t>
                  </w:r>
                  <w:r>
                    <w:rPr>
                      <w:rFonts w:ascii="仿宋_GB2312" w:hAnsi="仿宋_GB2312" w:cs="仿宋_GB2312" w:eastAsia="仿宋_GB2312"/>
                      <w:sz w:val="20"/>
                      <w:color w:val="0000FF"/>
                    </w:rPr>
                    <w:t>(耦合器)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火箭</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8口</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摄像机电源</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12V</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摄像机电源</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24V</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警号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豪恩</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报警警灯</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豪恩</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开关电源</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国产</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DC12V 3A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壁挂单红外探测器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ISC-BPR2-W12-CHIISC-BPR2-W12-CHI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49</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3W/6W吸顶扬声器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DSP802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室内幕帘探测器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ISC-BPR2-WPC12-CHIISC-BPR2-WPC12-CHI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壁挂音箱</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DSP106II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全景拼接壁式摄像机支架定制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拾音器（室内）</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快鱼</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TRADIO-130KY</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PDU插座</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航嘉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PDU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玻璃破碎探测器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DS1101i-CHIDS1101i-CHI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壁挂式设备箱（不锈钢）</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新洲</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400*300*170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单门磁力锁</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DS-K4H250SCDS-K4H250SC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闭门器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G-713G-713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网络光端机（单口）</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DS-3D201R-A2U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红外幕栏（探测距离</w:t>
                  </w:r>
                  <w:r>
                    <w:rPr>
                      <w:rFonts w:ascii="仿宋_GB2312" w:hAnsi="仿宋_GB2312" w:cs="仿宋_GB2312" w:eastAsia="仿宋_GB2312"/>
                      <w:sz w:val="20"/>
                      <w:color w:val="0000FF"/>
                    </w:rPr>
                    <w:t>≥10米）；六光束</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艾礼安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ABI10-1086</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四光束红外对射探测器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DS422i-CHI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仿真岩石园林音箱</w:t>
                  </w:r>
                  <w:r>
                    <w:rPr>
                      <w:rFonts w:ascii="仿宋_GB2312" w:hAnsi="仿宋_GB2312" w:cs="仿宋_GB2312" w:eastAsia="仿宋_GB2312"/>
                      <w:sz w:val="20"/>
                      <w:color w:val="0000FF"/>
                    </w:rPr>
                    <w:t>10/20W</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DSP643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壁挂双鉴探测器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ISC-CDL1-W15G-CHIISC-CDL1-W15G-CHI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LED补光灯（室外）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普瑞</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双总线驱动器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B299</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四光束红外对射探测器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DS426i-CHI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LED补光灯（室内）</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普瑞</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8015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加强型电源浪涌保护器</w:t>
                  </w:r>
                  <w:r>
                    <w:rPr>
                      <w:rFonts w:ascii="仿宋_GB2312" w:hAnsi="仿宋_GB2312" w:cs="仿宋_GB2312" w:eastAsia="仿宋_GB2312"/>
                      <w:sz w:val="20"/>
                      <w:color w:val="0000FF"/>
                    </w:rPr>
                    <w:t>385V</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航嘉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HJSPD40/2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室外全天候音柱</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DSP408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双门磁力锁</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DS-K4H250DCDS-K4H250DC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激光探测器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ISC-PDL1-W18G-CHIISC-PDL1-W18G-CHI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通道双鉴探测器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ISC-PDL1-W18G-CHIISC-PDL1-W18G-CHI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8防区报警模块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B208-CHI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继电器输出模块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B308-CHI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吸顶双鉴探测器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DS9370-CHIDS9370-CHI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壁挂式机柜</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图腾</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光分配架（</w:t>
                  </w:r>
                  <w:r>
                    <w:rPr>
                      <w:rFonts w:ascii="仿宋_GB2312" w:hAnsi="仿宋_GB2312" w:cs="仿宋_GB2312" w:eastAsia="仿宋_GB2312"/>
                      <w:sz w:val="20"/>
                      <w:color w:val="0000FF"/>
                    </w:rPr>
                    <w:t>ODF）</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火箭</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ODF</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室外被动红外探测器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OD850-F1-CHIOD850-F1-CHI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电视监控摄像设备</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DS-2CD252SDP-YB</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大屏专用线缆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HDMI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蓄电池</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重明</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65AH/12V</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B426-CN</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门禁控制器单门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DS-K2602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驻波探测器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A&amp;R</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VU-1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DS-2CD272SDHY-XI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58</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DS-2CD272SDHY-XI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串口模块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DX4010V2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高清红外网络枪型摄像机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DS-2CD262EFHY-XI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星光级宽动态智能网络枪型摄像机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DS-2CD262EFHY-X</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扩声系统设备</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DS-2FH2021B-OW</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拾音器（室外）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快鱼</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TRADIO-HW301xaTRADIO-HW301xa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企业级硬盘</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希捷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ST4000NM0035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指纹密码读卡器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DS-K1T201MF</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振动探测器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ISN-SM-50ISN-SM-50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灯光联动模块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DSR-32C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加强型电源浪涌保护器</w:t>
                  </w:r>
                  <w:r>
                    <w:rPr>
                      <w:rFonts w:ascii="仿宋_GB2312" w:hAnsi="仿宋_GB2312" w:cs="仿宋_GB2312" w:eastAsia="仿宋_GB2312"/>
                      <w:sz w:val="20"/>
                      <w:color w:val="0000FF"/>
                    </w:rPr>
                    <w:t>420V</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航嘉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HJSPD80/4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IP网络分机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DS-PEA22-F</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部</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SFP-GE-LX-SM1310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SFP-GE-LX-SM1311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光模块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SFP-GE-LX-SM1312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智能四光束红外对射探测器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ISC-FPB1-W120QS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红外幕栏（探测距离</w:t>
                  </w:r>
                  <w:r>
                    <w:rPr>
                      <w:rFonts w:ascii="仿宋_GB2312" w:hAnsi="仿宋_GB2312" w:cs="仿宋_GB2312" w:eastAsia="仿宋_GB2312"/>
                      <w:sz w:val="20"/>
                      <w:color w:val="0000FF"/>
                    </w:rPr>
                    <w:t>≥10米）</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艾礼安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ABL10-18010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汇聚交换机</w:t>
                  </w:r>
                  <w:r>
                    <w:rPr>
                      <w:rFonts w:ascii="仿宋_GB2312" w:hAnsi="仿宋_GB2312" w:cs="仿宋_GB2312" w:eastAsia="仿宋_GB2312"/>
                      <w:sz w:val="20"/>
                      <w:color w:val="0000FF"/>
                    </w:rPr>
                    <w:t>≥336Gbps/3.36Tbps</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RG-S2928G-E V3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红外幕帘探测器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艾礼安</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ABL60-18010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局域网交换机（</w:t>
                  </w:r>
                  <w:r>
                    <w:rPr>
                      <w:rFonts w:ascii="仿宋_GB2312" w:hAnsi="仿宋_GB2312" w:cs="仿宋_GB2312" w:eastAsia="仿宋_GB2312"/>
                      <w:sz w:val="20"/>
                      <w:color w:val="0000FF"/>
                    </w:rPr>
                    <w:t>4口）</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RG-IS2706G</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单兵</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DS-MDT001/GLE</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网络报警矩阵</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MAG6416II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接入交换机（</w:t>
                  </w:r>
                  <w:r>
                    <w:rPr>
                      <w:rFonts w:ascii="仿宋_GB2312" w:hAnsi="仿宋_GB2312" w:cs="仿宋_GB2312" w:eastAsia="仿宋_GB2312"/>
                      <w:sz w:val="20"/>
                      <w:color w:val="0000FF"/>
                    </w:rPr>
                    <w:t>24口）</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RG-S2928G-E V3</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可视报警箱</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DS-PEA22-B</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42U机柜</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图腾</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42U</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分控软件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压敏探测器</w:t>
                  </w:r>
                  <w:r>
                    <w:rPr>
                      <w:rFonts w:ascii="仿宋_GB2312" w:hAnsi="仿宋_GB2312" w:cs="仿宋_GB2312" w:eastAsia="仿宋_GB2312"/>
                      <w:sz w:val="20"/>
                      <w:color w:val="0000FF"/>
                    </w:rPr>
                    <w:t>5公斤</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A&amp;R</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YL-005</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局域网交换机（</w:t>
                  </w:r>
                  <w:r>
                    <w:rPr>
                      <w:rFonts w:ascii="仿宋_GB2312" w:hAnsi="仿宋_GB2312" w:cs="仿宋_GB2312" w:eastAsia="仿宋_GB2312"/>
                      <w:sz w:val="20"/>
                      <w:color w:val="0000FF"/>
                    </w:rPr>
                    <w:t>8口）</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RG-IS2712G</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压敏探测器</w:t>
                  </w:r>
                  <w:r>
                    <w:rPr>
                      <w:rFonts w:ascii="仿宋_GB2312" w:hAnsi="仿宋_GB2312" w:cs="仿宋_GB2312" w:eastAsia="仿宋_GB2312"/>
                      <w:sz w:val="20"/>
                      <w:color w:val="0000FF"/>
                    </w:rPr>
                    <w:t>0.05~10公斤</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A&amp;R</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YL-010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压敏探测器</w:t>
                  </w:r>
                  <w:r>
                    <w:rPr>
                      <w:rFonts w:ascii="仿宋_GB2312" w:hAnsi="仿宋_GB2312" w:cs="仿宋_GB2312" w:eastAsia="仿宋_GB2312"/>
                      <w:sz w:val="20"/>
                      <w:color w:val="0000FF"/>
                    </w:rPr>
                    <w:t>0.05~20公斤</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A&amp;R</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YL-020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电视监控摄像设备</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DS-2DE744HY-XI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网络寻呼麦克风</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MAG6588</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42寸监视器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DS-D5043FC-A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报警主机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博世</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B9512G-CHI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后端软件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Infovision iScenic-GTPS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电视监控摄像设备</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DS-2CD8627SDP/C-YB</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两防区振动采集器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优周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EH-800-1</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空调</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海信</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KFR-72LW</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单防区振动采集器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优周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EH-800-2</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IP网络六十路一级主机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DS-PEA4H-10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工作站</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联想</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ThinkStationP3330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网络版门禁控制器软件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Infovision iScenic-AInfovision iScenic-A</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LCD拼接屏</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DS-D2055NH-E</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大屏专用连接器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HDMI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根</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28</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汇聚交换机</w:t>
                  </w:r>
                  <w:r>
                    <w:rPr>
                      <w:rFonts w:ascii="仿宋_GB2312" w:hAnsi="仿宋_GB2312" w:cs="仿宋_GB2312" w:eastAsia="仿宋_GB2312"/>
                      <w:sz w:val="20"/>
                      <w:color w:val="0000FF"/>
                    </w:rPr>
                    <w:t>≥598G/5.98Tbps</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RG-S5750C-28SFP4XS-H</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电视墙</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操作台</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新洲</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全景摄像机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iDS-2DP1618SDP-YB/437/T4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配电柜</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国产</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含双电源切换</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热成像双谱网络摄像机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DS-2TD2636HY-XHI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中心管理服务器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Infovision iScenic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报警管理软件</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达观</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DN-AS8500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系统</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网络主机（内置主控软件</w:t>
                  </w:r>
                  <w:r>
                    <w:rPr>
                      <w:rFonts w:ascii="仿宋_GB2312" w:hAnsi="仿宋_GB2312" w:cs="仿宋_GB2312" w:eastAsia="仿宋_GB2312"/>
                      <w:sz w:val="20"/>
                      <w:color w:val="0000FF"/>
                    </w:rPr>
                    <w:t>)</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DSPPA</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MAG6182II</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安防管理系统</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Infovision iScenicInfovision iScenic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全景拼接摄像机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iDS-2DP1636SDP-YB/237</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运维、视频诊断服务器</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DS-IE6200-E/DDS-IE6200-E/D</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磁盘阵列</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海康威视</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DS-A72024RDS-A72024R</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发电机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潍坊</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50KW</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核心交换机</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锐捷</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RG-S7805C</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中心管理服务器（含软件）</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联想</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SR650-6144SR650-6144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UPS</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伊顿</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93E 30KS</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蓄电池</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重明</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65AH/12V</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块</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3D建模</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道和</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DHSWJM1.0DHSWJM1.0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视频融合服务器</w:t>
                  </w:r>
                  <w:r>
                    <w:rPr>
                      <w:rFonts w:ascii="仿宋_GB2312" w:hAnsi="仿宋_GB2312" w:cs="仿宋_GB2312" w:eastAsia="仿宋_GB2312"/>
                      <w:sz w:val="20"/>
                      <w:color w:val="0000FF"/>
                    </w:rPr>
                    <w:t xml:space="preserve">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联想</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SR650-6134</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 xml:space="preserve">3D虚拟融合预警应急安防系统  </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道和</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DH-AFPT6010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台</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r>
          </w:tbl>
          <w:p>
            <w:pPr>
              <w:pStyle w:val="null3"/>
              <w:ind w:firstLine="400"/>
              <w:jc w:val="both"/>
            </w:pPr>
            <w:r>
              <w:rPr>
                <w:rFonts w:ascii="仿宋_GB2312" w:hAnsi="仿宋_GB2312" w:cs="仿宋_GB2312" w:eastAsia="仿宋_GB2312"/>
                <w:sz w:val="20"/>
                <w:color w:val="0000FF"/>
              </w:rPr>
              <w:t>三、服务、产品（如有）执行的标准、规范</w:t>
            </w:r>
          </w:p>
          <w:p>
            <w:pPr>
              <w:pStyle w:val="null3"/>
              <w:ind w:firstLine="400"/>
              <w:jc w:val="both"/>
            </w:pPr>
            <w:r>
              <w:rPr>
                <w:rFonts w:ascii="仿宋_GB2312" w:hAnsi="仿宋_GB2312" w:cs="仿宋_GB2312" w:eastAsia="仿宋_GB2312"/>
                <w:sz w:val="20"/>
                <w:color w:val="0000FF"/>
              </w:rPr>
              <w:t>根据以下标准进行项目的整个维护保养工作，确保在维保中满足国家规范及行业标准，使工程达到建设单位使用需求，确保系统安全稳定运行。</w:t>
            </w:r>
          </w:p>
          <w:p>
            <w:pPr>
              <w:pStyle w:val="null3"/>
              <w:ind w:firstLine="400"/>
              <w:jc w:val="both"/>
            </w:pPr>
            <w:r>
              <w:rPr>
                <w:rFonts w:ascii="仿宋_GB2312" w:hAnsi="仿宋_GB2312" w:cs="仿宋_GB2312" w:eastAsia="仿宋_GB2312"/>
                <w:sz w:val="20"/>
                <w:color w:val="0000FF"/>
              </w:rPr>
              <w:t>《中华人民共和国文物保护法》</w:t>
            </w:r>
            <w:r>
              <w:rPr>
                <w:rFonts w:ascii="仿宋_GB2312" w:hAnsi="仿宋_GB2312" w:cs="仿宋_GB2312" w:eastAsia="仿宋_GB2312"/>
                <w:sz w:val="20"/>
                <w:color w:val="0000FF"/>
              </w:rPr>
              <w:t>2025年3月</w:t>
            </w:r>
          </w:p>
          <w:p>
            <w:pPr>
              <w:pStyle w:val="null3"/>
              <w:ind w:firstLine="400"/>
              <w:jc w:val="both"/>
            </w:pPr>
            <w:r>
              <w:rPr>
                <w:rFonts w:ascii="仿宋_GB2312" w:hAnsi="仿宋_GB2312" w:cs="仿宋_GB2312" w:eastAsia="仿宋_GB2312"/>
                <w:sz w:val="20"/>
                <w:color w:val="0000FF"/>
              </w:rPr>
              <w:t>《中华人民共和国文物保护法实施条例》</w:t>
            </w:r>
            <w:r>
              <w:rPr>
                <w:rFonts w:ascii="仿宋_GB2312" w:hAnsi="仿宋_GB2312" w:cs="仿宋_GB2312" w:eastAsia="仿宋_GB2312"/>
                <w:sz w:val="20"/>
                <w:color w:val="0000FF"/>
              </w:rPr>
              <w:t>2017年修订</w:t>
            </w:r>
          </w:p>
          <w:p>
            <w:pPr>
              <w:pStyle w:val="null3"/>
              <w:ind w:firstLine="400"/>
              <w:jc w:val="both"/>
            </w:pPr>
            <w:r>
              <w:rPr>
                <w:rFonts w:ascii="仿宋_GB2312" w:hAnsi="仿宋_GB2312" w:cs="仿宋_GB2312" w:eastAsia="仿宋_GB2312"/>
                <w:sz w:val="20"/>
                <w:color w:val="0000FF"/>
              </w:rPr>
              <w:t>《陕西省文物保护条例》</w:t>
            </w:r>
            <w:r>
              <w:rPr>
                <w:rFonts w:ascii="仿宋_GB2312" w:hAnsi="仿宋_GB2312" w:cs="仿宋_GB2312" w:eastAsia="仿宋_GB2312"/>
                <w:sz w:val="20"/>
                <w:color w:val="0000FF"/>
              </w:rPr>
              <w:t>2019年修订</w:t>
            </w:r>
          </w:p>
          <w:p>
            <w:pPr>
              <w:pStyle w:val="null3"/>
              <w:ind w:firstLine="400"/>
              <w:jc w:val="both"/>
            </w:pPr>
            <w:r>
              <w:rPr>
                <w:rFonts w:ascii="仿宋_GB2312" w:hAnsi="仿宋_GB2312" w:cs="仿宋_GB2312" w:eastAsia="仿宋_GB2312"/>
                <w:sz w:val="20"/>
                <w:color w:val="0000FF"/>
              </w:rPr>
              <w:t>《陕西省安全防范技术条例实施细则》</w:t>
            </w:r>
            <w:r>
              <w:rPr>
                <w:rFonts w:ascii="仿宋_GB2312" w:hAnsi="仿宋_GB2312" w:cs="仿宋_GB2312" w:eastAsia="仿宋_GB2312"/>
                <w:sz w:val="20"/>
                <w:color w:val="0000FF"/>
              </w:rPr>
              <w:t>2012年修订</w:t>
            </w:r>
          </w:p>
          <w:p>
            <w:pPr>
              <w:pStyle w:val="null3"/>
              <w:ind w:firstLine="400"/>
              <w:jc w:val="both"/>
            </w:pPr>
            <w:r>
              <w:rPr>
                <w:rFonts w:ascii="仿宋_GB2312" w:hAnsi="仿宋_GB2312" w:cs="仿宋_GB2312" w:eastAsia="仿宋_GB2312"/>
                <w:sz w:val="20"/>
                <w:color w:val="0000FF"/>
              </w:rPr>
              <w:t>GA27-2002《文物系统博物馆风险等级和安全防护级别的规定》；</w:t>
            </w:r>
          </w:p>
          <w:p>
            <w:pPr>
              <w:pStyle w:val="null3"/>
              <w:ind w:firstLine="400"/>
              <w:jc w:val="both"/>
            </w:pPr>
            <w:r>
              <w:rPr>
                <w:rFonts w:ascii="仿宋_GB2312" w:hAnsi="仿宋_GB2312" w:cs="仿宋_GB2312" w:eastAsia="仿宋_GB2312"/>
                <w:sz w:val="20"/>
                <w:color w:val="0000FF"/>
              </w:rPr>
              <w:t>GA/T75-1994《安全防范工程程序与要求》；</w:t>
            </w:r>
          </w:p>
          <w:p>
            <w:pPr>
              <w:pStyle w:val="null3"/>
              <w:ind w:firstLine="400"/>
              <w:jc w:val="both"/>
            </w:pPr>
            <w:r>
              <w:rPr>
                <w:rFonts w:ascii="仿宋_GB2312" w:hAnsi="仿宋_GB2312" w:cs="仿宋_GB2312" w:eastAsia="仿宋_GB2312"/>
                <w:sz w:val="20"/>
                <w:color w:val="0000FF"/>
              </w:rPr>
              <w:t>GB50348-2018《安全防范工程技术标准》；</w:t>
            </w:r>
          </w:p>
          <w:p>
            <w:pPr>
              <w:pStyle w:val="null3"/>
              <w:ind w:firstLine="400"/>
              <w:jc w:val="both"/>
            </w:pPr>
            <w:r>
              <w:rPr>
                <w:rFonts w:ascii="仿宋_GB2312" w:hAnsi="仿宋_GB2312" w:cs="仿宋_GB2312" w:eastAsia="仿宋_GB2312"/>
                <w:sz w:val="20"/>
                <w:color w:val="0000FF"/>
              </w:rPr>
              <w:t>GB55029-2022《安全防范工程通用规范》</w:t>
            </w:r>
          </w:p>
          <w:p>
            <w:pPr>
              <w:pStyle w:val="null3"/>
              <w:ind w:firstLine="400"/>
              <w:jc w:val="both"/>
            </w:pPr>
            <w:r>
              <w:rPr>
                <w:rFonts w:ascii="仿宋_GB2312" w:hAnsi="仿宋_GB2312" w:cs="仿宋_GB2312" w:eastAsia="仿宋_GB2312"/>
                <w:sz w:val="20"/>
                <w:color w:val="0000FF"/>
              </w:rPr>
              <w:t>GA/T 647-2016；</w:t>
            </w:r>
          </w:p>
          <w:p>
            <w:pPr>
              <w:pStyle w:val="null3"/>
              <w:ind w:firstLine="400"/>
              <w:jc w:val="both"/>
            </w:pPr>
            <w:r>
              <w:rPr>
                <w:rFonts w:ascii="仿宋_GB2312" w:hAnsi="仿宋_GB2312" w:cs="仿宋_GB2312" w:eastAsia="仿宋_GB2312"/>
                <w:sz w:val="20"/>
                <w:color w:val="0000FF"/>
              </w:rPr>
              <w:t>GB 20815-2006《视频安防监控数字录像设备》；</w:t>
            </w:r>
          </w:p>
          <w:p>
            <w:pPr>
              <w:pStyle w:val="null3"/>
              <w:ind w:firstLine="400"/>
              <w:jc w:val="both"/>
            </w:pPr>
            <w:r>
              <w:rPr>
                <w:rFonts w:ascii="仿宋_GB2312" w:hAnsi="仿宋_GB2312" w:cs="仿宋_GB2312" w:eastAsia="仿宋_GB2312"/>
                <w:sz w:val="20"/>
                <w:color w:val="0000FF"/>
              </w:rPr>
              <w:t>GA/T 367-2001；</w:t>
            </w:r>
          </w:p>
          <w:p>
            <w:pPr>
              <w:pStyle w:val="null3"/>
              <w:ind w:firstLine="400"/>
              <w:jc w:val="both"/>
            </w:pPr>
            <w:r>
              <w:rPr>
                <w:rFonts w:ascii="仿宋_GB2312" w:hAnsi="仿宋_GB2312" w:cs="仿宋_GB2312" w:eastAsia="仿宋_GB2312"/>
                <w:sz w:val="20"/>
                <w:color w:val="0000FF"/>
              </w:rPr>
              <w:t>GB 50395-2007；</w:t>
            </w:r>
          </w:p>
          <w:p>
            <w:pPr>
              <w:pStyle w:val="null3"/>
              <w:ind w:firstLine="400"/>
              <w:jc w:val="both"/>
            </w:pPr>
            <w:r>
              <w:rPr>
                <w:rFonts w:ascii="仿宋_GB2312" w:hAnsi="仿宋_GB2312" w:cs="仿宋_GB2312" w:eastAsia="仿宋_GB2312"/>
                <w:sz w:val="20"/>
                <w:color w:val="0000FF"/>
              </w:rPr>
              <w:t>GB 10408.1～9-2000《入侵探测器 第1部分～第9部分》；</w:t>
            </w:r>
          </w:p>
          <w:p>
            <w:pPr>
              <w:pStyle w:val="null3"/>
              <w:ind w:firstLine="400"/>
              <w:jc w:val="both"/>
            </w:pPr>
            <w:r>
              <w:rPr>
                <w:rFonts w:ascii="仿宋_GB2312" w:hAnsi="仿宋_GB2312" w:cs="仿宋_GB2312" w:eastAsia="仿宋_GB2312"/>
                <w:sz w:val="20"/>
                <w:color w:val="0000FF"/>
              </w:rPr>
              <w:t>GB 12663-2019《入侵和紧急报警系统控制指示设备》；</w:t>
            </w:r>
          </w:p>
          <w:p>
            <w:pPr>
              <w:pStyle w:val="null3"/>
              <w:ind w:firstLine="400"/>
              <w:jc w:val="both"/>
            </w:pPr>
            <w:r>
              <w:rPr>
                <w:rFonts w:ascii="仿宋_GB2312" w:hAnsi="仿宋_GB2312" w:cs="仿宋_GB2312" w:eastAsia="仿宋_GB2312"/>
                <w:sz w:val="20"/>
                <w:color w:val="0000FF"/>
              </w:rPr>
              <w:t>GB 50394-2019《入侵和紧急报警系统工程设计规范》；</w:t>
            </w:r>
          </w:p>
          <w:p>
            <w:pPr>
              <w:pStyle w:val="null3"/>
              <w:ind w:firstLine="400"/>
              <w:jc w:val="both"/>
            </w:pPr>
            <w:r>
              <w:rPr>
                <w:rFonts w:ascii="仿宋_GB2312" w:hAnsi="仿宋_GB2312" w:cs="仿宋_GB2312" w:eastAsia="仿宋_GB2312"/>
                <w:sz w:val="20"/>
                <w:color w:val="0000FF"/>
              </w:rPr>
              <w:t>GB 50198-2011；</w:t>
            </w:r>
          </w:p>
          <w:p>
            <w:pPr>
              <w:pStyle w:val="null3"/>
              <w:ind w:firstLine="400"/>
              <w:jc w:val="both"/>
            </w:pPr>
            <w:r>
              <w:rPr>
                <w:rFonts w:ascii="仿宋_GB2312" w:hAnsi="仿宋_GB2312" w:cs="仿宋_GB2312" w:eastAsia="仿宋_GB2312"/>
                <w:sz w:val="20"/>
                <w:color w:val="0000FF"/>
              </w:rPr>
              <w:t>GA/T 664-2006《电子巡查系统技术要求》；</w:t>
            </w:r>
          </w:p>
          <w:p>
            <w:pPr>
              <w:pStyle w:val="null3"/>
              <w:ind w:firstLine="400"/>
              <w:jc w:val="both"/>
            </w:pPr>
            <w:r>
              <w:rPr>
                <w:rFonts w:ascii="仿宋_GB2312" w:hAnsi="仿宋_GB2312" w:cs="仿宋_GB2312" w:eastAsia="仿宋_GB2312"/>
                <w:sz w:val="20"/>
                <w:color w:val="0000FF"/>
              </w:rPr>
              <w:t>GB 50526-2021《公共广播系统工程技术标准》；</w:t>
            </w:r>
          </w:p>
          <w:p>
            <w:pPr>
              <w:pStyle w:val="null3"/>
              <w:ind w:firstLine="400"/>
              <w:jc w:val="both"/>
            </w:pPr>
            <w:r>
              <w:rPr>
                <w:rFonts w:ascii="仿宋_GB2312" w:hAnsi="仿宋_GB2312" w:cs="仿宋_GB2312" w:eastAsia="仿宋_GB2312"/>
                <w:sz w:val="20"/>
                <w:color w:val="0000FF"/>
              </w:rPr>
              <w:t>GB 55024-2022《建筑电气与智能化通用规范》</w:t>
            </w:r>
          </w:p>
          <w:p>
            <w:pPr>
              <w:pStyle w:val="null3"/>
              <w:ind w:firstLine="400"/>
              <w:jc w:val="both"/>
            </w:pPr>
            <w:r>
              <w:rPr>
                <w:rFonts w:ascii="仿宋_GB2312" w:hAnsi="仿宋_GB2312" w:cs="仿宋_GB2312" w:eastAsia="仿宋_GB2312"/>
                <w:sz w:val="20"/>
                <w:color w:val="0000FF"/>
              </w:rPr>
              <w:t>GB /T50314-2015《智能建筑设计标准》；</w:t>
            </w:r>
          </w:p>
          <w:p>
            <w:pPr>
              <w:pStyle w:val="null3"/>
              <w:ind w:firstLine="400"/>
              <w:jc w:val="both"/>
            </w:pPr>
            <w:r>
              <w:rPr>
                <w:rFonts w:ascii="仿宋_GB2312" w:hAnsi="仿宋_GB2312" w:cs="仿宋_GB2312" w:eastAsia="仿宋_GB2312"/>
                <w:sz w:val="20"/>
                <w:color w:val="0000FF"/>
              </w:rPr>
              <w:t>GB 50311-2019《建筑与建筑群综合布线系统工程设计规范》；</w:t>
            </w:r>
          </w:p>
          <w:p>
            <w:pPr>
              <w:pStyle w:val="null3"/>
              <w:ind w:firstLine="400"/>
              <w:jc w:val="both"/>
            </w:pPr>
            <w:r>
              <w:rPr>
                <w:rFonts w:ascii="仿宋_GB2312" w:hAnsi="仿宋_GB2312" w:cs="仿宋_GB2312" w:eastAsia="仿宋_GB2312"/>
                <w:sz w:val="20"/>
                <w:color w:val="0000FF"/>
              </w:rPr>
              <w:t>GB/T 28181-2022《公共安全视频监控联网系统信息传输、交换、控制技术要求》；</w:t>
            </w:r>
          </w:p>
          <w:p>
            <w:pPr>
              <w:pStyle w:val="null3"/>
              <w:ind w:firstLine="400"/>
              <w:jc w:val="both"/>
            </w:pPr>
            <w:r>
              <w:rPr>
                <w:rFonts w:ascii="仿宋_GB2312" w:hAnsi="仿宋_GB2312" w:cs="仿宋_GB2312" w:eastAsia="仿宋_GB2312"/>
                <w:sz w:val="20"/>
                <w:color w:val="0000FF"/>
              </w:rPr>
              <w:t>GB/T 16571-2012《博物馆与文物保护单位安全防范系统要求》；</w:t>
            </w:r>
          </w:p>
          <w:p>
            <w:pPr>
              <w:pStyle w:val="null3"/>
              <w:ind w:firstLine="400"/>
              <w:jc w:val="both"/>
            </w:pPr>
            <w:r>
              <w:rPr>
                <w:rFonts w:ascii="仿宋_GB2312" w:hAnsi="仿宋_GB2312" w:cs="仿宋_GB2312" w:eastAsia="仿宋_GB2312"/>
                <w:sz w:val="20"/>
                <w:color w:val="0000FF"/>
              </w:rPr>
              <w:t>GB50057-2010《建筑物防雷设计规范》；</w:t>
            </w:r>
          </w:p>
          <w:p>
            <w:pPr>
              <w:pStyle w:val="null3"/>
              <w:ind w:firstLine="400"/>
              <w:jc w:val="both"/>
            </w:pPr>
            <w:r>
              <w:rPr>
                <w:rFonts w:ascii="仿宋_GB2312" w:hAnsi="仿宋_GB2312" w:cs="仿宋_GB2312" w:eastAsia="仿宋_GB2312"/>
                <w:sz w:val="20"/>
                <w:color w:val="0000FF"/>
              </w:rPr>
              <w:t>GA/T 670-2006 《安全防范系统雷电浪涌防护技术要求》；</w:t>
            </w:r>
          </w:p>
          <w:p>
            <w:pPr>
              <w:pStyle w:val="null3"/>
              <w:ind w:firstLine="400"/>
              <w:jc w:val="both"/>
            </w:pPr>
            <w:r>
              <w:rPr>
                <w:rFonts w:ascii="仿宋_GB2312" w:hAnsi="仿宋_GB2312" w:cs="仿宋_GB2312" w:eastAsia="仿宋_GB2312"/>
                <w:sz w:val="20"/>
                <w:color w:val="0000FF"/>
              </w:rPr>
              <w:t>GA/T 600.1～5-2006《报警传输系统的要求》；</w:t>
            </w:r>
          </w:p>
          <w:p>
            <w:pPr>
              <w:pStyle w:val="null3"/>
              <w:ind w:firstLine="400"/>
              <w:jc w:val="both"/>
            </w:pPr>
            <w:r>
              <w:rPr>
                <w:rFonts w:ascii="仿宋_GB2312" w:hAnsi="仿宋_GB2312" w:cs="仿宋_GB2312" w:eastAsia="仿宋_GB2312"/>
                <w:sz w:val="20"/>
                <w:color w:val="0000FF"/>
              </w:rPr>
              <w:t>GA/T 74-2017《安全防范系统通用图形符号》；</w:t>
            </w:r>
          </w:p>
          <w:p>
            <w:pPr>
              <w:pStyle w:val="null3"/>
              <w:ind w:firstLine="400"/>
              <w:jc w:val="both"/>
            </w:pPr>
            <w:r>
              <w:rPr>
                <w:rFonts w:ascii="仿宋_GB2312" w:hAnsi="仿宋_GB2312" w:cs="仿宋_GB2312" w:eastAsia="仿宋_GB2312"/>
                <w:sz w:val="20"/>
                <w:color w:val="0000FF"/>
              </w:rPr>
              <w:t>四、其他</w:t>
            </w:r>
          </w:p>
          <w:p>
            <w:pPr>
              <w:pStyle w:val="null3"/>
              <w:ind w:firstLine="400"/>
              <w:jc w:val="both"/>
            </w:pPr>
            <w:r>
              <w:rPr>
                <w:rFonts w:ascii="仿宋_GB2312" w:hAnsi="仿宋_GB2312" w:cs="仿宋_GB2312" w:eastAsia="仿宋_GB2312"/>
                <w:sz w:val="20"/>
                <w:color w:val="0000FF"/>
              </w:rPr>
              <w:t>（一）服务质量要求：满足国家规范及行业标准，使工程达到建设单位使用需求，确保系统安全稳定运行。</w:t>
            </w:r>
          </w:p>
          <w:p>
            <w:pPr>
              <w:pStyle w:val="null3"/>
              <w:ind w:firstLine="400"/>
              <w:jc w:val="both"/>
            </w:pPr>
            <w:r>
              <w:rPr>
                <w:rFonts w:ascii="仿宋_GB2312" w:hAnsi="仿宋_GB2312" w:cs="仿宋_GB2312" w:eastAsia="仿宋_GB2312"/>
                <w:sz w:val="20"/>
                <w:color w:val="0000FF"/>
              </w:rPr>
              <w:t>（二）违约责任</w:t>
            </w:r>
          </w:p>
          <w:p>
            <w:pPr>
              <w:pStyle w:val="null3"/>
              <w:ind w:firstLine="400"/>
            </w:pPr>
            <w:r>
              <w:rPr>
                <w:rFonts w:ascii="仿宋_GB2312" w:hAnsi="仿宋_GB2312" w:cs="仿宋_GB2312" w:eastAsia="仿宋_GB2312"/>
                <w:sz w:val="20"/>
                <w:color w:val="0000FF"/>
              </w:rPr>
              <w:t>依据《中华人民共和国民法典》、《中华人民共和国政府采购法》的相关条款和合同约定执行。</w:t>
            </w:r>
          </w:p>
          <w:p>
            <w:pPr>
              <w:pStyle w:val="null3"/>
            </w:pPr>
            <w:r>
              <w:rPr>
                <w:rFonts w:ascii="仿宋_GB2312" w:hAnsi="仿宋_GB2312" w:cs="仿宋_GB2312" w:eastAsia="仿宋_GB2312"/>
                <w:sz w:val="20"/>
                <w:b/>
                <w:color w:val="0000FF"/>
              </w:rPr>
              <w:t>五、本项目所属行业：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根据服务要求配置，确保项目顺利实施（如需）。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合同款，合同签订后10日内，甲方一次性向乙方支付合同总金额的 100%。甲方付款前，乙方必须开具全额发票给甲方。乙方未提供或提供发票不符合要求的，甲方有权拒绝付款，且不承担违约责任，达到付款条件起10个工作日内，支付合同总金额的100.0%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二、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年度或2025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针对本项目提出适用于本项目的总体方案，方案包含：①对本项目的理解；②服务计划；③服务质量保障措施；④定期维保进度保障措施；⑤重难点分析。 二、评审标准 1、完整性：方案必须全面，对评审内容中的各项要求有详细描述； 2、可实施性：切合本项目实际情况，提出步骤清晰、合理的方案； 3、针对性：方案能够紧扣项目实际情况， 内容科学合理。 三、赋分标准 (满分15分)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巡检服务方案</w:t>
            </w:r>
          </w:p>
        </w:tc>
        <w:tc>
          <w:tcPr>
            <w:tcW w:type="dxa" w:w="2492"/>
          </w:tcPr>
          <w:p>
            <w:pPr>
              <w:pStyle w:val="null3"/>
            </w:pPr>
            <w:r>
              <w:rPr>
                <w:rFonts w:ascii="仿宋_GB2312" w:hAnsi="仿宋_GB2312" w:cs="仿宋_GB2312" w:eastAsia="仿宋_GB2312"/>
              </w:rPr>
              <w:t>一、评审内容 针对本项目提出巡检服务方案，方案内容包含：①设备除尘服务方案；②数据完整性和异常性检查方案；③设备日常维护方案。 二、评审标准 1、完整性：方案必须全面，对评审内容中的各项要求有详细描述； 2、可实施性：切合本项目实际情况，提出步骤清晰、合理的方案； 3、针对性：方案能够紧扣项目实际情况， 内容科学合理。 三、赋分标准 (满分9分)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针对本项目提出技术服务方案，方案内容包含：①安防系统维修服务方案；②安防系统维修记录方案。 二、评审标准 1、完整性：方案必须全面，对评审内容中的各项要求有详细描述； 2、可实施性：切合本项目实际情况，提出步骤清晰、合理的方案； 3、针对性：方案能够紧扣项目实际情况， 内容科学合理。 三、赋分标准 (满分 6 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供应商针对本项目具有良好的管理制度，方案包含：①安防设备管理；②安防维保人员管理；③信息管理与保密制度；④值班日志管理制度。 二、评审标准 1、完整性：方案必须全面，对评审内容中的各项要求有详细描述； 2、落实性：切合项目具体情况，提出责任明确、要求具体的方案； 3、针对性：方案能够紧扣项目实际情况， 内容科学合理。 三、赋分标准 (满分 12 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根据本项目特点制定应急方案，方案内容包含：①安防维保突发事件的定义与分类；②安防设备故障应对；③突发事件响应时间及流程；④应急处理方案。 二、评审标准 1、完整性：方案全面，对评审内容中的各项要求有详细描述及说 明； 2、可实施性：切合本项目实际情况，方案步骤清晰、合理； 3、针对性：方案紧扣项目实际情况， 内容科学合理。 三、赋分标准 (满分 12 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根据本项目特点制定档案管理方案，方案包括：①档案资料的收集及分类；②档案资料的保存及移交。 二、评审标准 1、完整性：方案必须全面，对评审内容中的各项要求有详细描述； 2、可实施性：切合本项目实际情况，提出步骤清晰、合理的方案； 3、针对性：方案能够紧扣项目实际情况， 内容科学合理。 三、赋分标准 (满分6分)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根据本项目制定详细、可行的培训考核方案，保证上岗人员的专业素质、服务质量符合采购人要求，方案包含：①岗前培训；②定期常态化培训；③培训后的成果验收和考核。 二、评审标准 1、完整性：方案必须全面，对评审内容中的各项要求有详细描述； 2、可实施性：切合本项目实际情况，提出步骤清晰、合理的方案； 3、针对性：方案能够紧扣项目实际情况， 内容科学合理。 三、赋分标准 (满分 9 分) 每个评审项满分3分，每完全满足一个评审标准得1分，针对每条评审标准，如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1.资格要求 (最高 1分) 项目负责人具备机电工程专业二级及以上注册建造师资格的得1分。 赋分依据：须提供建造师注册证书，且在本单位注册 ，不提供或不满足资格要求不得分。 2.经验要求 (最高 3分) 项目负责人具有安防系统维保项目3年管理经验，得1分；每增加一年管理经验额外增加1分，最多增加2分，满分3分。 赋分依据：须提供安防系统维保项目工作证明文件或被服务单位加盖公章的证明材料，不提供或缺漏项不得分。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项目组人员配备（不含项目负责人）</w:t>
            </w:r>
          </w:p>
        </w:tc>
        <w:tc>
          <w:tcPr>
            <w:tcW w:type="dxa" w:w="2492"/>
          </w:tcPr>
          <w:p>
            <w:pPr>
              <w:pStyle w:val="null3"/>
            </w:pPr>
            <w:r>
              <w:rPr>
                <w:rFonts w:ascii="仿宋_GB2312" w:hAnsi="仿宋_GB2312" w:cs="仿宋_GB2312" w:eastAsia="仿宋_GB2312"/>
              </w:rPr>
              <w:t>供应商针对本项目提供的项目组人员配备： 1、各专业岗位人员配备齐全，履历丰富、熟悉安防系统、人员职责明确、分工清晰、科学合理得5分； 2、各专业岗位人员配备基本齐全，履历较丰富，较熟悉安防系统、人员职责基本明确、分工较清晰得3分； 3、各专业岗位人员配备不齐全，履历缺乏，人员职责模糊、分工不清晰得1分； 4、不能满足项目需求或未提供不得分。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提供2023年5月1日至今承担过类似相关业绩（以加盖供应商公章的合同复印件为准，应至少包含合同关键页，合同上必须明确体现签订时间），每提供1项有效业绩得2分，最高得10分。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1.承诺：接受采购人对服务的考核、监督及管理，得1分。不承诺不得分。 2.承诺：定期调研采购人对服务质量的满意度并加以改进，确保服务工作的优质高效，得1分。不承诺不得分。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