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000"/>
      <w:bookmarkStart w:id="1" w:name="_Toc302"/>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ZYHCG20260511</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榆阳区2021年黄土高原流失综合治理项目地类不符整改项目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25751"/>
      <w:bookmarkStart w:id="3" w:name="_Toc18066"/>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榆林市榆阳区林业局</w:t>
      </w:r>
    </w:p>
    <w:p w14:paraId="0CA1553A">
      <w:pPr>
        <w:rPr>
          <w:rFonts w:hint="eastAsia" w:ascii="宋体" w:hAnsi="宋体" w:eastAsia="宋体" w:cs="宋体"/>
          <w:b/>
          <w:bCs/>
          <w:sz w:val="36"/>
          <w:szCs w:val="36"/>
        </w:rPr>
      </w:pPr>
      <w:bookmarkStart w:id="128" w:name="_GoBack"/>
      <w:bookmarkEnd w:id="128"/>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2026年05月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39</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56</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67</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6666"/>
      <w:bookmarkStart w:id="6" w:name="_Toc17839"/>
      <w:bookmarkStart w:id="7" w:name="_Toc297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5F4E972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150" w:afterAutospacing="0" w:line="360" w:lineRule="auto"/>
        <w:ind w:left="0" w:right="0"/>
        <w:jc w:val="left"/>
        <w:textAlignment w:val="baseline"/>
        <w:rPr>
          <w:rStyle w:val="21"/>
          <w:rFonts w:hint="eastAsia" w:ascii="宋体" w:hAnsi="宋体" w:eastAsia="宋体" w:cs="宋体"/>
          <w:b/>
          <w:bCs/>
          <w:i w:val="0"/>
          <w:iCs w:val="0"/>
          <w:caps w:val="0"/>
          <w:color w:val="auto"/>
          <w:spacing w:val="0"/>
          <w:sz w:val="24"/>
          <w:szCs w:val="24"/>
          <w:shd w:val="clear" w:fill="FFFFFF"/>
        </w:rPr>
      </w:pPr>
      <w:bookmarkStart w:id="8" w:name="bookmark2"/>
      <w:bookmarkEnd w:id="8"/>
      <w:bookmarkStart w:id="9" w:name="_Toc11898"/>
      <w:bookmarkStart w:id="10" w:name="_Toc30563"/>
    </w:p>
    <w:p w14:paraId="7F22D6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jc w:val="left"/>
        <w:textAlignment w:val="baseline"/>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项目概况</w:t>
      </w:r>
    </w:p>
    <w:p w14:paraId="74444A7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榆阳区2021年黄土高原流失综合治理项目地类不符整改项目采购项目的潜在供应商应在全国公共资源交易中心平台（陕西省）使用CA锁报名后自行下载获取采购文件，并于 2026年05月22日 09时30分 （北京时间）前提交响应文件。</w:t>
      </w:r>
    </w:p>
    <w:p w14:paraId="0E8259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一、项目基本情况</w:t>
      </w:r>
    </w:p>
    <w:p w14:paraId="030F3C3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项目编号：ZYHCG20260511</w:t>
      </w:r>
    </w:p>
    <w:p w14:paraId="55CB202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项目名称：榆阳区2021年黄土高原流失综合治理项目地类不符整改项目</w:t>
      </w:r>
    </w:p>
    <w:p w14:paraId="1ED1E99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1F81EEE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预算金额：3,165,660.00元</w:t>
      </w:r>
    </w:p>
    <w:p w14:paraId="3DF7E71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4D7F252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合同包1(榆阳区2021年黄土高原流失综合治理项目地类不符整改项):</w:t>
      </w:r>
    </w:p>
    <w:p w14:paraId="3E664B6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合同包预算金额：3,165,660.00元</w:t>
      </w:r>
    </w:p>
    <w:p w14:paraId="11DA29F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合同包最高限价：3,165,660.00元</w:t>
      </w:r>
    </w:p>
    <w:tbl>
      <w:tblPr>
        <w:tblStyle w:val="19"/>
        <w:tblW w:w="1049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80"/>
        <w:gridCol w:w="2226"/>
        <w:gridCol w:w="1424"/>
        <w:gridCol w:w="1833"/>
        <w:gridCol w:w="1900"/>
        <w:gridCol w:w="1935"/>
      </w:tblGrid>
      <w:tr w14:paraId="0BFC1C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28" w:hRule="atLeast"/>
          <w:tblHeader/>
          <w:jc w:val="center"/>
        </w:trPr>
        <w:tc>
          <w:tcPr>
            <w:tcW w:w="11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C5A428">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22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186BCD">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14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84FC55">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3E29F7">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9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4D8810">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9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BB5DF4">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63ED5A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3" w:hRule="atLeast"/>
          <w:jc w:val="center"/>
        </w:trPr>
        <w:tc>
          <w:tcPr>
            <w:tcW w:w="11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CEC431">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22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2BFC2A">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土地绿化工程施工</w:t>
            </w:r>
          </w:p>
        </w:tc>
        <w:tc>
          <w:tcPr>
            <w:tcW w:w="14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68900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工程</w:t>
            </w:r>
          </w:p>
        </w:tc>
        <w:tc>
          <w:tcPr>
            <w:tcW w:w="1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E81805">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9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6C5CE">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Lines="50" w:beforeAutospacing="0" w:after="24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9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4BAF63">
            <w:pPr>
              <w:keepNext w:val="0"/>
              <w:keepLines w:val="0"/>
              <w:pageBreakBefore w:val="0"/>
              <w:widowControl/>
              <w:suppressLineNumbers w:val="0"/>
              <w:kinsoku w:val="0"/>
              <w:wordWrap/>
              <w:overflowPunct/>
              <w:topLinePunct w:val="0"/>
              <w:autoSpaceDE w:val="0"/>
              <w:autoSpaceDN w:val="0"/>
              <w:bidi w:val="0"/>
              <w:adjustRightInd w:val="0"/>
              <w:snapToGrid w:val="0"/>
              <w:spacing w:before="0" w:beforeLines="50" w:beforeAutospacing="0" w:after="24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3,165,660.00</w:t>
            </w:r>
          </w:p>
        </w:tc>
      </w:tr>
    </w:tbl>
    <w:p w14:paraId="0EB72F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CDFE1A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合同履行期限：90天</w:t>
      </w:r>
    </w:p>
    <w:p w14:paraId="344B1A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二、申请人的资格要求：</w:t>
      </w:r>
    </w:p>
    <w:p w14:paraId="6FC8F82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2BF9B3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70645A5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合同包1(榆阳区2021年黄土高原流失综合治理项目地类不符整改项)落实政府采购政策需满足的资格要求如下:</w:t>
      </w:r>
    </w:p>
    <w:p w14:paraId="1EDDC2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45599F3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675BF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合同包1(榆阳区2021年黄土高原流失综合治理项目地类不符整改项)特定资格要求如下:</w:t>
      </w:r>
    </w:p>
    <w:p w14:paraId="3CAB799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2、拟派项目负责人具备绿化工程相关专业中级(含中级)以上专业技术职称且未担任其他在建工程项目的项目负责人，提供无在建声明。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信用记录：提供《书面声明函》（按给定格式填写），投标人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11、本项目不接受联合体投标，须提供非联合体投标声明（单位负责人为同一人或者存在直接控股、管理关系的不同投标人，不得参加同一合同项下的政府采购活动）。</w:t>
      </w:r>
    </w:p>
    <w:p w14:paraId="728263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三、获取采购文件</w:t>
      </w:r>
    </w:p>
    <w:p w14:paraId="23EE53E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2026年05月12日 至 2026年05月18日 ，每天上午 08:00:00 至 12:00:00 ，下午 12:00:00 至 17:00:00 （北京时间）</w:t>
      </w:r>
    </w:p>
    <w:p w14:paraId="265C5B6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69996F2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07AA6F9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69A3C5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四、响应文件提交</w:t>
      </w:r>
    </w:p>
    <w:p w14:paraId="24A4897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2026年05月22日 09时30分00秒 （北京时间）</w:t>
      </w:r>
    </w:p>
    <w:p w14:paraId="697FA45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143EA3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五、开启</w:t>
      </w:r>
    </w:p>
    <w:p w14:paraId="64C006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2026年05月22日 09时30分00秒 （北京时间）</w:t>
      </w:r>
    </w:p>
    <w:p w14:paraId="360C59A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77AC09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六、公告期限</w:t>
      </w:r>
    </w:p>
    <w:p w14:paraId="23A2D65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32EE4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七、其他补充事宜</w:t>
      </w:r>
    </w:p>
    <w:p w14:paraId="30C2BDF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102D40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2B7489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10E0385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498510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Lines="50" w:beforeAutospacing="0" w:after="24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61D38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601348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名称：榆林市榆阳区林业局</w:t>
      </w:r>
    </w:p>
    <w:p w14:paraId="1CE905D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地址：榆林市榆阳区建榆路</w:t>
      </w:r>
    </w:p>
    <w:p w14:paraId="58FC031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联系方式：8106652</w:t>
      </w:r>
    </w:p>
    <w:p w14:paraId="5F89B23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581625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72F9FD8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3CE7BDE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40C076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51311F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1CA2441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Lines="50" w:beforeAutospacing="0" w:after="24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11</w:t>
      </w:r>
      <w:r>
        <w:rPr>
          <w:rFonts w:hint="eastAsia" w:ascii="宋体" w:hAnsi="宋体" w:eastAsia="宋体" w:cs="宋体"/>
          <w:i w:val="0"/>
          <w:iCs w:val="0"/>
          <w:caps w:val="0"/>
          <w:color w:val="auto"/>
          <w:spacing w:val="0"/>
          <w:sz w:val="24"/>
          <w:szCs w:val="24"/>
          <w:shd w:val="clear" w:fill="FFFFFF"/>
          <w:vertAlign w:val="baseline"/>
        </w:rPr>
        <w:t>日</w:t>
      </w: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34"/>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35"/>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35"/>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35"/>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35"/>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35"/>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3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榆林市榆阳区林业局</w:t>
            </w:r>
          </w:p>
          <w:p w14:paraId="21A29758">
            <w:pPr>
              <w:pStyle w:val="35"/>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榆林市榆阳区西沙建榆路</w:t>
            </w:r>
          </w:p>
          <w:p w14:paraId="42DCEB0F">
            <w:pPr>
              <w:pStyle w:val="35"/>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贾智楠</w:t>
            </w:r>
          </w:p>
          <w:p w14:paraId="0B1E78FC">
            <w:pPr>
              <w:pStyle w:val="35"/>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cs="宋体"/>
                <w:color w:val="auto"/>
                <w:spacing w:val="-2"/>
                <w:lang w:eastAsia="zh-CN"/>
              </w:rPr>
              <w:t>0912-8106652</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35"/>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35"/>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35"/>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3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35"/>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35"/>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35"/>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35"/>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35"/>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35"/>
              <w:spacing w:before="272" w:line="219" w:lineRule="auto"/>
              <w:ind w:left="112"/>
              <w:rPr>
                <w:rFonts w:hint="eastAsia" w:ascii="宋体" w:hAnsi="宋体" w:eastAsia="宋体" w:cs="宋体"/>
                <w:color w:val="auto"/>
                <w:lang w:val="en-US" w:eastAsia="zh-CN"/>
              </w:rPr>
            </w:pPr>
            <w:r>
              <w:rPr>
                <w:rFonts w:hint="eastAsia" w:cs="宋体"/>
                <w:color w:val="auto"/>
                <w:lang w:eastAsia="zh-CN"/>
              </w:rPr>
              <w:t>榆阳区2021年黄土高原流失综合治理项目地类不符整改项目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35"/>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35"/>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35"/>
              <w:spacing w:before="114" w:line="219" w:lineRule="auto"/>
              <w:rPr>
                <w:rFonts w:hint="eastAsia" w:ascii="宋体" w:hAnsi="宋体" w:eastAsia="宋体" w:cs="宋体"/>
                <w:color w:val="auto"/>
                <w:lang w:val="en-US" w:eastAsia="zh-CN"/>
              </w:rPr>
            </w:pPr>
            <w:r>
              <w:rPr>
                <w:rFonts w:hint="eastAsia" w:cs="宋体"/>
                <w:color w:val="auto"/>
                <w:spacing w:val="-1"/>
                <w:lang w:eastAsia="zh-CN"/>
              </w:rPr>
              <w:t>榆阳区2021年黄土高原流失综合治理项目地类不符整改项目，</w:t>
            </w:r>
            <w:r>
              <w:rPr>
                <w:rFonts w:hint="eastAsia" w:cs="宋体"/>
                <w:color w:val="auto"/>
                <w:spacing w:val="-1"/>
                <w:lang w:val="en-US" w:eastAsia="zh-CN"/>
              </w:rPr>
              <w:t>共设1个标段。建设内容:人工造灌木林 1200 亩，栽植 H≥40cm 沙地柏 13.32 万株；退化林修复 2200 亩，补植 H ≥1m 樟子松 3.96 万株、d≥0.3cm 紫穗槐18.48 万株，封育围栏11.27 千米。</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35"/>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35"/>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35"/>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35"/>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35"/>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¥3165660</w:t>
            </w:r>
            <w:r>
              <w:rPr>
                <w:rFonts w:hint="eastAsia" w:ascii="宋体" w:hAnsi="宋体" w:eastAsia="宋体" w:cs="宋体"/>
                <w:color w:val="auto"/>
                <w:spacing w:val="-1"/>
                <w:lang w:val="en-US" w:eastAsia="zh-CN"/>
              </w:rPr>
              <w:t>.00</w:t>
            </w:r>
            <w:r>
              <w:rPr>
                <w:rFonts w:hint="eastAsia" w:ascii="宋体" w:hAnsi="宋体" w:eastAsia="宋体" w:cs="宋体"/>
                <w:color w:val="auto"/>
                <w:spacing w:val="-1"/>
              </w:rPr>
              <w:t>元</w:t>
            </w:r>
            <w:r>
              <w:rPr>
                <w:rFonts w:hint="eastAsia" w:ascii="宋体" w:hAnsi="宋体" w:eastAsia="宋体" w:cs="宋体"/>
                <w:color w:val="auto"/>
                <w:spacing w:val="-1"/>
                <w:lang w:eastAsia="zh-CN"/>
              </w:rPr>
              <w:t>。</w:t>
            </w:r>
          </w:p>
          <w:p w14:paraId="1852FB4B">
            <w:pPr>
              <w:pStyle w:val="35"/>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35"/>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35"/>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35"/>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35"/>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35"/>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35"/>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35"/>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35"/>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35"/>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35"/>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05</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22</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45106BD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、拟派项目负责人具备</w:t>
            </w:r>
            <w:r>
              <w:rPr>
                <w:rFonts w:hint="eastAsia" w:ascii="宋体" w:hAnsi="宋体" w:eastAsia="宋体" w:cs="宋体"/>
                <w:i w:val="0"/>
                <w:iCs w:val="0"/>
                <w:caps w:val="0"/>
                <w:color w:val="auto"/>
                <w:spacing w:val="0"/>
                <w:sz w:val="24"/>
                <w:szCs w:val="24"/>
                <w:shd w:val="clear" w:fill="FFFFFF"/>
                <w:lang w:val="en-US" w:eastAsia="zh-CN"/>
              </w:rPr>
              <w:t>绿化工程相关专业中级(含中级)以上专业技术职称</w:t>
            </w:r>
            <w:r>
              <w:rPr>
                <w:rFonts w:hint="eastAsia" w:ascii="宋体" w:hAnsi="宋体" w:eastAsia="宋体" w:cs="宋体"/>
                <w:i w:val="0"/>
                <w:iCs w:val="0"/>
                <w:caps w:val="0"/>
                <w:color w:val="auto"/>
                <w:spacing w:val="0"/>
                <w:sz w:val="24"/>
                <w:szCs w:val="24"/>
                <w:shd w:val="clear" w:fill="FFFFFF"/>
              </w:rPr>
              <w:t>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信用记录：提供《书面声明函》（按给定格式填写），投标人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35"/>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35"/>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35"/>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35"/>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3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22</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上</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22</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上</w:t>
            </w:r>
            <w:r>
              <w:rPr>
                <w:rFonts w:hint="eastAsia" w:ascii="宋体" w:hAnsi="宋体" w:eastAsia="宋体" w:cs="宋体"/>
                <w:i w:val="0"/>
                <w:iCs w:val="0"/>
                <w:caps w:val="0"/>
                <w:color w:val="auto"/>
                <w:spacing w:val="0"/>
                <w:sz w:val="24"/>
                <w:szCs w:val="24"/>
                <w:shd w:val="clear" w:fill="FFFFFF"/>
                <w:vertAlign w:val="baseline"/>
              </w:rPr>
              <w:t>午</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3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35"/>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35"/>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35"/>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35"/>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35"/>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35"/>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35"/>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35"/>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35"/>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35"/>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35"/>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90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35"/>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35"/>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35"/>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35"/>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3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35"/>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3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35"/>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榆阳区</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35"/>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35"/>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35"/>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35"/>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35"/>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35"/>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35"/>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35"/>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0"/>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35"/>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35"/>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35"/>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35"/>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35"/>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1"/>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35"/>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35"/>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35"/>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35"/>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35"/>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35"/>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34"/>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35"/>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35"/>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35"/>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35"/>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35"/>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35"/>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35"/>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3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3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35"/>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35"/>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35"/>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35"/>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35"/>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35"/>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35"/>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35"/>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35"/>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3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3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3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35"/>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3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3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3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35"/>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35"/>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35"/>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35"/>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35"/>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35"/>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35"/>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35"/>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3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35"/>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35"/>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35"/>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35"/>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3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510" w:type="dxa"/>
            <w:vAlign w:val="top"/>
          </w:tcPr>
          <w:p w14:paraId="354C7E38">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35"/>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35"/>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38"/>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38"/>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38"/>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3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3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38"/>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38"/>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38"/>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38"/>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3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38"/>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35"/>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35"/>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3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35"/>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35"/>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35"/>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35"/>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0338DB7">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2466CA58">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10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561"/>
      <w:bookmarkStart w:id="15" w:name="_Toc15998"/>
      <w:bookmarkStart w:id="16" w:name="_Toc21395"/>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7720"/>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139CC1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、拟派项目负责人具备</w:t>
            </w:r>
            <w:r>
              <w:rPr>
                <w:rFonts w:hint="eastAsia" w:ascii="宋体" w:hAnsi="宋体" w:eastAsia="宋体" w:cs="宋体"/>
                <w:i w:val="0"/>
                <w:iCs w:val="0"/>
                <w:caps w:val="0"/>
                <w:color w:val="auto"/>
                <w:spacing w:val="0"/>
                <w:sz w:val="24"/>
                <w:szCs w:val="24"/>
                <w:shd w:val="clear" w:fill="FFFFFF"/>
                <w:lang w:val="en-US" w:eastAsia="zh-CN"/>
              </w:rPr>
              <w:t>绿化工程相关专业中级(含中级)以上专业技术职称</w:t>
            </w:r>
            <w:r>
              <w:rPr>
                <w:rFonts w:hint="eastAsia" w:ascii="宋体" w:hAnsi="宋体" w:eastAsia="宋体" w:cs="宋体"/>
                <w:i w:val="0"/>
                <w:iCs w:val="0"/>
                <w:caps w:val="0"/>
                <w:color w:val="auto"/>
                <w:spacing w:val="0"/>
                <w:sz w:val="24"/>
                <w:szCs w:val="24"/>
                <w:shd w:val="clear" w:fill="FFFFFF"/>
              </w:rPr>
              <w:t>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财务状况报告：提供企业赋码后的2024年或2025年财务审计报告（至少包括资产负债表、利润表、现金流量表及附注）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信用记录：提供《书面声明函》（按给定格式填写），投标人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、本项目不接受联合体投标，须提供非联合体投标声明（单位负责人为同一人或者存在直接控股、管理关系的不同投标人，不得参加同一合同项下的政府采购活动）。</w:t>
            </w:r>
          </w:p>
          <w:p w14:paraId="7EE88AD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cs="宋体"/>
                <w:color w:val="auto"/>
                <w:szCs w:val="24"/>
                <w:highlight w:val="none"/>
              </w:rPr>
            </w:pP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6B3A94AC">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02E060B1">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631E4D9E">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432418F4">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3DD25464">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19"/>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335"/>
        <w:gridCol w:w="6350"/>
      </w:tblGrid>
      <w:tr w14:paraId="6A5B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1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5A8F3BC">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231"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AA27815">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符合性审查项</w:t>
            </w:r>
          </w:p>
        </w:tc>
        <w:tc>
          <w:tcPr>
            <w:tcW w:w="3348"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2D85DA1">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通过条件</w:t>
            </w:r>
          </w:p>
        </w:tc>
      </w:tr>
      <w:tr w14:paraId="1A4D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40A91525">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5D6569F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响应文件项目名称、项目编号、标段（未划分标段的除外）</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7F44119C">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响应文件中的项目名称、项目编号、标段与本项目完全一致，且无遗漏</w:t>
            </w:r>
            <w:r>
              <w:rPr>
                <w:rFonts w:hint="eastAsia" w:ascii="宋体" w:hAnsi="宋体" w:eastAsia="宋体" w:cs="宋体"/>
                <w:bCs/>
                <w:color w:val="auto"/>
                <w:kern w:val="0"/>
                <w:sz w:val="24"/>
                <w:szCs w:val="24"/>
                <w:lang w:eastAsia="zh-CN"/>
              </w:rPr>
              <w:t>。</w:t>
            </w:r>
          </w:p>
        </w:tc>
      </w:tr>
      <w:tr w14:paraId="1A65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2A873897">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6461444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响应文件组成</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6E9B8775">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val="en-US" w:eastAsia="zh-CN"/>
              </w:rPr>
              <w:t>竞争性</w:t>
            </w:r>
            <w:r>
              <w:rPr>
                <w:rFonts w:hint="eastAsia" w:ascii="宋体" w:hAnsi="宋体" w:eastAsia="宋体" w:cs="宋体"/>
                <w:bCs/>
                <w:color w:val="auto"/>
                <w:kern w:val="0"/>
                <w:sz w:val="24"/>
                <w:szCs w:val="24"/>
              </w:rPr>
              <w:t>磋商响应文件格式”的要求</w:t>
            </w:r>
          </w:p>
        </w:tc>
      </w:tr>
      <w:tr w14:paraId="7758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A2889BF">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1E86DDD5">
            <w:pPr>
              <w:spacing w:line="320" w:lineRule="exact"/>
              <w:ind w:left="0" w:leftChars="0" w:firstLine="0" w:firstLineChars="0"/>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响应文件签署、盖章</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5B9CE5C7">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签署、盖章符合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要求，且无遗漏。</w:t>
            </w:r>
          </w:p>
        </w:tc>
      </w:tr>
      <w:tr w14:paraId="618E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932A3CA">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4</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3481557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响应文件有效期</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0027D136">
            <w:pPr>
              <w:spacing w:line="320" w:lineRule="exact"/>
              <w:rPr>
                <w:rFonts w:hint="eastAsia" w:ascii="宋体" w:hAnsi="宋体" w:eastAsia="宋体" w:cs="宋体"/>
                <w:color w:val="auto"/>
                <w:sz w:val="24"/>
                <w:szCs w:val="24"/>
              </w:rPr>
            </w:pPr>
            <w:r>
              <w:rPr>
                <w:rFonts w:hint="eastAsia" w:ascii="宋体" w:hAnsi="宋体" w:eastAsia="宋体" w:cs="宋体"/>
                <w:bCs/>
                <w:color w:val="auto"/>
                <w:kern w:val="0"/>
                <w:sz w:val="24"/>
                <w:szCs w:val="24"/>
              </w:rPr>
              <w:t>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的要求。</w:t>
            </w:r>
          </w:p>
        </w:tc>
      </w:tr>
      <w:tr w14:paraId="0F57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1B263486">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5</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3B1A9B8D">
            <w:pPr>
              <w:spacing w:line="320" w:lineRule="exact"/>
              <w:ind w:left="0" w:leftChars="0" w:firstLine="0" w:firstLineChars="0"/>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响应文件的语言及计量单位</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37882FA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eastAsia="zh-CN"/>
              </w:rPr>
              <w:t>竞争性磋商文件</w:t>
            </w:r>
            <w:r>
              <w:rPr>
                <w:rFonts w:hint="eastAsia" w:ascii="宋体" w:hAnsi="宋体" w:eastAsia="宋体" w:cs="宋体"/>
                <w:bCs/>
                <w:color w:val="auto"/>
                <w:kern w:val="0"/>
                <w:sz w:val="24"/>
                <w:szCs w:val="24"/>
              </w:rPr>
              <w:t>的要求。</w:t>
            </w:r>
          </w:p>
        </w:tc>
      </w:tr>
      <w:tr w14:paraId="6964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123F2AA">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6</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7D61AA4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11F082E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同时满足以下条款：</w:t>
            </w:r>
          </w:p>
          <w:p w14:paraId="1613EBA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报价符合唯一性要求；</w:t>
            </w:r>
          </w:p>
          <w:p w14:paraId="346A145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（2）第一次</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报价表填写符合要求；</w:t>
            </w:r>
          </w:p>
          <w:p w14:paraId="37AA9B89">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（3）报价货币符合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要求；</w:t>
            </w:r>
          </w:p>
          <w:p w14:paraId="463D94ED">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（4）未超出采购预算或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规定的最高限价</w:t>
            </w:r>
            <w:r>
              <w:rPr>
                <w:rFonts w:hint="eastAsia" w:ascii="宋体" w:hAnsi="宋体" w:eastAsia="宋体" w:cs="宋体"/>
                <w:bCs/>
                <w:color w:val="auto"/>
                <w:kern w:val="0"/>
                <w:sz w:val="24"/>
                <w:szCs w:val="24"/>
                <w:lang w:eastAsia="zh-CN"/>
              </w:rPr>
              <w:t>。</w:t>
            </w:r>
          </w:p>
        </w:tc>
      </w:tr>
      <w:tr w14:paraId="6994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47E6B7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7</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5C144C6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实质性条款响应</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3CE0A1E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完全响应</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要求的各项技术/服务/商务实质性条款。</w:t>
            </w:r>
          </w:p>
        </w:tc>
      </w:tr>
      <w:tr w14:paraId="0248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257E29D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8</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1937029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65B3E39">
            <w:pPr>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tc>
      </w:tr>
      <w:tr w14:paraId="5614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46F643C5">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9</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0F53E90D">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BA6E72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完全理解并接受法律法规和</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对供应商的各项须知、规约要求和责任义务，没有出现法律法规或</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明确规定的其他被视为“无效响应”的情形。</w:t>
            </w:r>
          </w:p>
        </w:tc>
      </w:tr>
      <w:tr w14:paraId="78C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19" w:type="pct"/>
            <w:tcBorders>
              <w:top w:val="single" w:color="auto" w:sz="4" w:space="0"/>
              <w:left w:val="single" w:color="auto" w:sz="4" w:space="0"/>
              <w:bottom w:val="single" w:color="auto" w:sz="4" w:space="0"/>
              <w:right w:val="single" w:color="auto" w:sz="4" w:space="0"/>
            </w:tcBorders>
            <w:noWrap w:val="0"/>
            <w:vAlign w:val="center"/>
          </w:tcPr>
          <w:p w14:paraId="32D65012">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10</w:t>
            </w:r>
          </w:p>
        </w:tc>
        <w:tc>
          <w:tcPr>
            <w:tcW w:w="1231" w:type="pct"/>
            <w:tcBorders>
              <w:top w:val="single" w:color="auto" w:sz="4" w:space="0"/>
              <w:left w:val="single" w:color="auto" w:sz="4" w:space="0"/>
              <w:bottom w:val="single" w:color="auto" w:sz="4" w:space="0"/>
              <w:right w:val="single" w:color="auto" w:sz="4" w:space="0"/>
            </w:tcBorders>
            <w:noWrap w:val="0"/>
            <w:vAlign w:val="center"/>
          </w:tcPr>
          <w:p w14:paraId="0DAF4D1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响应方案</w:t>
            </w:r>
          </w:p>
        </w:tc>
        <w:tc>
          <w:tcPr>
            <w:tcW w:w="3348" w:type="pct"/>
            <w:tcBorders>
              <w:top w:val="single" w:color="auto" w:sz="4" w:space="0"/>
              <w:left w:val="single" w:color="auto" w:sz="4" w:space="0"/>
              <w:bottom w:val="single" w:color="auto" w:sz="4" w:space="0"/>
              <w:right w:val="single" w:color="auto" w:sz="4" w:space="0"/>
            </w:tcBorders>
            <w:noWrap w:val="0"/>
            <w:vAlign w:val="center"/>
          </w:tcPr>
          <w:p w14:paraId="23E55C4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供应商自行合理编制针对本项目的响应方案。未按要求编制的视为无效方案。</w:t>
            </w:r>
          </w:p>
        </w:tc>
      </w:tr>
    </w:tbl>
    <w:p w14:paraId="737C9950">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34"/>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35"/>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35"/>
              <w:spacing w:before="38" w:line="222" w:lineRule="auto"/>
              <w:ind w:left="160"/>
              <w:rPr>
                <w:sz w:val="24"/>
                <w:szCs w:val="24"/>
              </w:rPr>
            </w:pPr>
            <w:r>
              <w:rPr>
                <w:spacing w:val="-8"/>
                <w:sz w:val="24"/>
                <w:szCs w:val="24"/>
              </w:rPr>
              <w:t>序号</w:t>
            </w:r>
          </w:p>
        </w:tc>
        <w:tc>
          <w:tcPr>
            <w:tcW w:w="2240" w:type="dxa"/>
            <w:vAlign w:val="top"/>
          </w:tcPr>
          <w:p w14:paraId="7F377590">
            <w:pPr>
              <w:pStyle w:val="35"/>
              <w:spacing w:before="38" w:line="222" w:lineRule="auto"/>
              <w:ind w:left="772"/>
              <w:rPr>
                <w:sz w:val="24"/>
                <w:szCs w:val="24"/>
              </w:rPr>
            </w:pPr>
            <w:r>
              <w:rPr>
                <w:spacing w:val="-6"/>
                <w:sz w:val="24"/>
                <w:szCs w:val="24"/>
              </w:rPr>
              <w:t>评分项</w:t>
            </w:r>
          </w:p>
        </w:tc>
        <w:tc>
          <w:tcPr>
            <w:tcW w:w="6768" w:type="dxa"/>
            <w:vAlign w:val="top"/>
          </w:tcPr>
          <w:p w14:paraId="5B2478E1">
            <w:pPr>
              <w:pStyle w:val="35"/>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35"/>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35"/>
              <w:spacing w:before="78" w:line="222" w:lineRule="auto"/>
              <w:ind w:left="650"/>
              <w:rPr>
                <w:sz w:val="24"/>
                <w:szCs w:val="24"/>
              </w:rPr>
            </w:pPr>
            <w:r>
              <w:rPr>
                <w:spacing w:val="-4"/>
                <w:sz w:val="24"/>
                <w:szCs w:val="24"/>
              </w:rPr>
              <w:t>投标报价</w:t>
            </w:r>
          </w:p>
          <w:p w14:paraId="623E70C9">
            <w:pPr>
              <w:pStyle w:val="35"/>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35"/>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35"/>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35"/>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35"/>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35"/>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35"/>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35"/>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35"/>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35"/>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35"/>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35"/>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34"/>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35"/>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35"/>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35"/>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35"/>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35"/>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35"/>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35"/>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35"/>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35"/>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35"/>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35"/>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35"/>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35"/>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35"/>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35"/>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35"/>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35"/>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35"/>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35"/>
              <w:spacing w:before="150" w:line="224" w:lineRule="auto"/>
              <w:ind w:left="893"/>
              <w:rPr>
                <w:sz w:val="24"/>
                <w:szCs w:val="24"/>
              </w:rPr>
            </w:pPr>
            <w:r>
              <w:rPr>
                <w:spacing w:val="-10"/>
                <w:sz w:val="24"/>
                <w:szCs w:val="24"/>
              </w:rPr>
              <w:t>分）</w:t>
            </w:r>
          </w:p>
        </w:tc>
        <w:tc>
          <w:tcPr>
            <w:tcW w:w="6768" w:type="dxa"/>
            <w:vAlign w:val="top"/>
          </w:tcPr>
          <w:p w14:paraId="6E329959">
            <w:pPr>
              <w:pStyle w:val="35"/>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35"/>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35"/>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35"/>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35"/>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35"/>
              <w:spacing w:before="78" w:line="223" w:lineRule="auto"/>
              <w:ind w:left="653"/>
              <w:rPr>
                <w:sz w:val="24"/>
                <w:szCs w:val="24"/>
              </w:rPr>
            </w:pPr>
            <w:r>
              <w:rPr>
                <w:spacing w:val="-5"/>
                <w:sz w:val="24"/>
                <w:szCs w:val="24"/>
              </w:rPr>
              <w:t>类似业绩</w:t>
            </w:r>
          </w:p>
          <w:p w14:paraId="3708695E">
            <w:pPr>
              <w:pStyle w:val="35"/>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35"/>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755"/>
      <w:bookmarkStart w:id="18" w:name="_Toc20535"/>
      <w:bookmarkStart w:id="19" w:name="_Toc775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榆林市榆阳区林业局</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榆林市榆阳区西沙建榆路</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榆阳区2021年黄土高原流失综合治理项目地类不符整改项目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榆阳区</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26444"/>
      <w:bookmarkStart w:id="21" w:name="_Toc7408"/>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5"/>
      <w:bookmarkEnd w:id="22"/>
      <w:bookmarkStart w:id="23" w:name="bookmark12"/>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198"/>
      <w:bookmarkEnd w:id="24"/>
      <w:bookmarkStart w:id="25" w:name="_bookmark200"/>
      <w:bookmarkEnd w:id="25"/>
      <w:bookmarkStart w:id="26" w:name="_bookmark147"/>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榆林市榆阳区林业局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219"/>
      <w:bookmarkEnd w:id="27"/>
      <w:bookmarkStart w:id="28" w:name="_bookmark163"/>
      <w:bookmarkEnd w:id="28"/>
      <w:bookmarkStart w:id="29" w:name="_bookmark204"/>
      <w:bookmarkEnd w:id="29"/>
      <w:bookmarkStart w:id="30" w:name="_bookmark151"/>
      <w:bookmarkEnd w:id="30"/>
      <w:bookmarkStart w:id="31" w:name="_bookmark202"/>
      <w:bookmarkEnd w:id="31"/>
      <w:bookmarkStart w:id="32" w:name="_bookmark153"/>
      <w:bookmarkEnd w:id="32"/>
      <w:bookmarkStart w:id="33" w:name="_bookmark216"/>
      <w:bookmarkEnd w:id="33"/>
      <w:bookmarkStart w:id="34" w:name="_bookmark221"/>
      <w:bookmarkEnd w:id="34"/>
      <w:bookmarkStart w:id="35" w:name="_bookmark155"/>
      <w:bookmarkEnd w:id="35"/>
      <w:bookmarkStart w:id="36" w:name="_bookmark149"/>
      <w:bookmarkEnd w:id="36"/>
      <w:bookmarkStart w:id="37" w:name="_bookmark214"/>
      <w:bookmarkEnd w:id="37"/>
      <w:bookmarkStart w:id="38" w:name="_bookmark161"/>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榆林市榆阳区林业局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169"/>
      <w:bookmarkEnd w:id="39"/>
      <w:bookmarkStart w:id="40" w:name="_bookmark225"/>
      <w:bookmarkEnd w:id="40"/>
      <w:bookmarkStart w:id="41" w:name="_bookmark223"/>
      <w:bookmarkEnd w:id="41"/>
      <w:bookmarkStart w:id="42" w:name="_bookmark165"/>
      <w:bookmarkEnd w:id="42"/>
      <w:bookmarkStart w:id="43" w:name="_bookmark167"/>
      <w:bookmarkEnd w:id="43"/>
      <w:bookmarkStart w:id="44" w:name="_bookmark227"/>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3"/>
      <w:bookmarkEnd w:id="45"/>
      <w:bookmarkStart w:id="46" w:name="_bookmark175"/>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85"/>
      <w:bookmarkEnd w:id="48"/>
      <w:bookmarkStart w:id="49" w:name="_bookmark177"/>
      <w:bookmarkEnd w:id="49"/>
      <w:bookmarkStart w:id="50" w:name="_bookmark179"/>
      <w:bookmarkEnd w:id="50"/>
      <w:bookmarkStart w:id="51" w:name="_bookmark183"/>
      <w:bookmarkEnd w:id="51"/>
      <w:bookmarkStart w:id="52" w:name="_bookmark229"/>
      <w:bookmarkEnd w:id="52"/>
      <w:bookmarkStart w:id="53" w:name="_bookmark181"/>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187"/>
      <w:bookmarkEnd w:id="54"/>
      <w:bookmarkStart w:id="55" w:name="_bookmark236"/>
      <w:bookmarkEnd w:id="55"/>
      <w:bookmarkStart w:id="56" w:name="_bookmark238"/>
      <w:bookmarkEnd w:id="56"/>
      <w:bookmarkStart w:id="57" w:name="_bookmark234"/>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89"/>
      <w:bookmarkEnd w:id="58"/>
      <w:bookmarkStart w:id="59" w:name="_bookmark191"/>
      <w:bookmarkEnd w:id="59"/>
      <w:bookmarkStart w:id="60" w:name="_bookmark193"/>
      <w:bookmarkEnd w:id="60"/>
      <w:bookmarkStart w:id="61" w:name="_bookmark195"/>
      <w:bookmarkEnd w:id="61"/>
      <w:bookmarkStart w:id="62" w:name="_bookmark240"/>
      <w:bookmarkEnd w:id="62"/>
      <w:bookmarkStart w:id="63" w:name="_bookmark242"/>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44"/>
      <w:bookmarkEnd w:id="64"/>
      <w:bookmarkStart w:id="65" w:name="_bookmark246"/>
      <w:bookmarkEnd w:id="65"/>
      <w:bookmarkStart w:id="66" w:name="_bookmark203"/>
      <w:bookmarkEnd w:id="66"/>
      <w:bookmarkStart w:id="67" w:name="_bookmark201"/>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54"/>
      <w:bookmarkEnd w:id="68"/>
      <w:bookmarkStart w:id="69" w:name="_bookmark207"/>
      <w:bookmarkEnd w:id="69"/>
      <w:bookmarkStart w:id="70" w:name="_bookmark252"/>
      <w:bookmarkEnd w:id="70"/>
      <w:bookmarkStart w:id="71" w:name="_bookmark211"/>
      <w:bookmarkEnd w:id="71"/>
      <w:bookmarkStart w:id="72" w:name="_bookmark209"/>
      <w:bookmarkEnd w:id="72"/>
      <w:bookmarkStart w:id="73" w:name="_bookmark248"/>
      <w:bookmarkEnd w:id="73"/>
      <w:bookmarkStart w:id="74" w:name="_bookmark205"/>
      <w:bookmarkEnd w:id="74"/>
      <w:bookmarkStart w:id="75" w:name="_bookmark250"/>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22"/>
      <w:bookmarkEnd w:id="76"/>
      <w:bookmarkStart w:id="77" w:name="_bookmark224"/>
      <w:bookmarkEnd w:id="77"/>
      <w:bookmarkStart w:id="78" w:name="_bookmark262"/>
      <w:bookmarkEnd w:id="78"/>
      <w:bookmarkStart w:id="79" w:name="_bookmark226"/>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57"/>
      <w:bookmarkEnd w:id="81"/>
      <w:bookmarkStart w:id="82" w:name="_bookmark259"/>
      <w:bookmarkEnd w:id="82"/>
      <w:bookmarkStart w:id="83" w:name="_bookmark284"/>
      <w:bookmarkEnd w:id="83"/>
      <w:bookmarkStart w:id="84" w:name="_bookmark255"/>
      <w:bookmarkEnd w:id="84"/>
      <w:bookmarkStart w:id="85" w:name="_bookmark286"/>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4"/>
      <w:bookmarkEnd w:id="86"/>
      <w:bookmarkStart w:id="87" w:name="_bookmark306"/>
      <w:bookmarkEnd w:id="87"/>
      <w:bookmarkStart w:id="88" w:name="_bookmark302"/>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待合同签订后，</w:t>
      </w:r>
      <w:r>
        <w:rPr>
          <w:rFonts w:hint="eastAsia" w:ascii="仿宋" w:hAnsi="仿宋" w:eastAsia="仿宋" w:cs="仿宋"/>
          <w:color w:val="auto"/>
          <w:spacing w:val="-10"/>
          <w:sz w:val="28"/>
          <w:szCs w:val="28"/>
          <w:u w:val="single" w:color="auto"/>
          <w:lang w:eastAsia="zh-CN"/>
        </w:rPr>
        <w:t>首付合同价的</w:t>
      </w:r>
      <w:r>
        <w:rPr>
          <w:rFonts w:hint="eastAsia" w:ascii="仿宋" w:hAnsi="仿宋" w:eastAsia="仿宋" w:cs="仿宋"/>
          <w:color w:val="auto"/>
          <w:spacing w:val="-10"/>
          <w:sz w:val="28"/>
          <w:szCs w:val="28"/>
          <w:u w:val="single" w:color="auto"/>
          <w:lang w:val="en-US" w:eastAsia="zh-CN"/>
        </w:rPr>
        <w:t>40%为启动资金，剩余</w:t>
      </w:r>
      <w:r>
        <w:rPr>
          <w:rFonts w:hint="eastAsia" w:ascii="仿宋" w:hAnsi="仿宋" w:eastAsia="仿宋" w:cs="仿宋"/>
          <w:color w:val="auto"/>
          <w:spacing w:val="-10"/>
          <w:sz w:val="28"/>
          <w:szCs w:val="28"/>
          <w:u w:val="single" w:color="auto"/>
        </w:rPr>
        <w:t>按工程进度付款，</w:t>
      </w:r>
      <w:r>
        <w:rPr>
          <w:rFonts w:hint="eastAsia" w:ascii="仿宋" w:hAnsi="仿宋" w:eastAsia="仿宋" w:cs="仿宋"/>
          <w:color w:val="auto"/>
          <w:spacing w:val="-5"/>
          <w:sz w:val="28"/>
          <w:szCs w:val="28"/>
          <w:u w:val="single" w:color="auto"/>
          <w:lang w:val="en-US" w:eastAsia="zh-CN"/>
        </w:rPr>
        <w:t>待工程完工后支付至合同价款的80%，待工程</w:t>
      </w:r>
      <w:r>
        <w:rPr>
          <w:rFonts w:hint="eastAsia" w:ascii="仿宋" w:hAnsi="仿宋" w:eastAsia="仿宋" w:cs="仿宋"/>
          <w:color w:val="auto"/>
          <w:spacing w:val="-10"/>
          <w:sz w:val="28"/>
          <w:szCs w:val="28"/>
          <w:u w:val="single"/>
        </w:rPr>
        <w:t>竣工</w:t>
      </w:r>
      <w:r>
        <w:rPr>
          <w:rFonts w:hint="eastAsia" w:ascii="仿宋" w:hAnsi="仿宋" w:eastAsia="仿宋" w:cs="仿宋"/>
          <w:color w:val="auto"/>
          <w:spacing w:val="-10"/>
          <w:sz w:val="28"/>
          <w:szCs w:val="28"/>
          <w:u w:val="single"/>
          <w:lang w:eastAsia="zh-CN"/>
        </w:rPr>
        <w:t>验收</w:t>
      </w:r>
      <w:r>
        <w:rPr>
          <w:rFonts w:hint="eastAsia" w:ascii="仿宋" w:hAnsi="仿宋" w:eastAsia="仿宋" w:cs="仿宋"/>
          <w:color w:val="auto"/>
          <w:spacing w:val="-10"/>
          <w:sz w:val="28"/>
          <w:szCs w:val="28"/>
          <w:u w:val="single"/>
          <w:lang w:val="en-US" w:eastAsia="zh-CN"/>
        </w:rPr>
        <w:t>评审</w:t>
      </w:r>
      <w:r>
        <w:rPr>
          <w:rFonts w:hint="eastAsia" w:ascii="仿宋" w:hAnsi="仿宋" w:eastAsia="仿宋" w:cs="仿宋"/>
          <w:color w:val="auto"/>
          <w:spacing w:val="-10"/>
          <w:sz w:val="28"/>
          <w:szCs w:val="28"/>
          <w:u w:val="single"/>
          <w:lang w:eastAsia="zh-CN"/>
        </w:rPr>
        <w:t>后，</w:t>
      </w:r>
      <w:r>
        <w:rPr>
          <w:rFonts w:hint="eastAsia" w:ascii="仿宋" w:hAnsi="仿宋" w:eastAsia="仿宋" w:cs="仿宋"/>
          <w:color w:val="auto"/>
          <w:spacing w:val="-10"/>
          <w:sz w:val="28"/>
          <w:szCs w:val="28"/>
          <w:u w:val="single"/>
          <w:lang w:val="en-US" w:eastAsia="zh-CN"/>
        </w:rPr>
        <w:t>剩余工程款一次性付清。</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275"/>
      <w:bookmarkEnd w:id="89"/>
      <w:bookmarkStart w:id="90" w:name="_bookmark316"/>
      <w:bookmarkEnd w:id="90"/>
      <w:bookmarkStart w:id="91" w:name="_bookmark277"/>
      <w:bookmarkEnd w:id="91"/>
      <w:bookmarkStart w:id="92" w:name="_bookmark281"/>
      <w:bookmarkEnd w:id="92"/>
      <w:bookmarkStart w:id="93" w:name="_bookmark318"/>
      <w:bookmarkEnd w:id="93"/>
      <w:bookmarkStart w:id="94" w:name="_bookmark279"/>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3"/>
      <w:bookmarkEnd w:id="95"/>
      <w:bookmarkStart w:id="96" w:name="_bookmark285"/>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5"/>
      <w:bookmarkEnd w:id="98"/>
      <w:bookmarkStart w:id="99" w:name="_bookmark289"/>
      <w:bookmarkEnd w:id="99"/>
      <w:bookmarkStart w:id="100" w:name="_bookmark291"/>
      <w:bookmarkEnd w:id="100"/>
      <w:bookmarkStart w:id="101" w:name="_bookmark297"/>
      <w:bookmarkEnd w:id="101"/>
      <w:bookmarkStart w:id="102" w:name="_bookmark299"/>
      <w:bookmarkEnd w:id="102"/>
      <w:bookmarkStart w:id="103" w:name="_bookmark293"/>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7"/>
      <w:bookmarkEnd w:id="104"/>
      <w:bookmarkStart w:id="105" w:name="_bookmark309"/>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榆林市榆阳区林业局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榆林市榆阳区林业局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4D048A95">
      <w:pPr>
        <w:pStyle w:val="8"/>
        <w:spacing w:before="70" w:line="224" w:lineRule="auto"/>
        <w:ind w:left="163"/>
        <w:jc w:val="center"/>
        <w:outlineLvl w:val="0"/>
        <w:rPr>
          <w:rFonts w:hint="eastAsia" w:ascii="宋体" w:hAnsi="宋体" w:eastAsia="宋体" w:cs="宋体"/>
          <w:color w:val="auto"/>
          <w:sz w:val="35"/>
          <w:szCs w:val="35"/>
          <w:lang w:eastAsia="zh-CN"/>
        </w:rPr>
      </w:pPr>
      <w:bookmarkStart w:id="106" w:name="_Toc7413"/>
      <w:bookmarkStart w:id="107" w:name="_Toc7051"/>
      <w:bookmarkStart w:id="108" w:name="_Toc22412"/>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第六章</w:t>
      </w:r>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p>
    <w:p w14:paraId="63A6F09B">
      <w:pPr>
        <w:pStyle w:val="33"/>
        <w:ind w:left="0" w:leftChars="0" w:firstLine="0" w:firstLineChars="0"/>
        <w:jc w:val="center"/>
        <w:rPr>
          <w:rFonts w:hint="eastAsia" w:ascii="宋体" w:hAnsi="宋体" w:eastAsia="宋体" w:cs="宋体"/>
          <w:color w:val="auto"/>
          <w:sz w:val="28"/>
          <w:szCs w:val="28"/>
          <w:lang w:eastAsia="zh-CN"/>
        </w:rPr>
      </w:pPr>
      <w:bookmarkStart w:id="109" w:name="bookmark6"/>
      <w:bookmarkEnd w:id="109"/>
      <w:bookmarkStart w:id="110" w:name="bookmark13"/>
      <w:bookmarkEnd w:id="110"/>
      <w:r>
        <w:rPr>
          <w:rFonts w:hint="eastAsia" w:ascii="宋体" w:hAnsi="宋体" w:eastAsia="宋体" w:cs="宋体"/>
          <w:color w:val="auto"/>
          <w:sz w:val="28"/>
          <w:szCs w:val="28"/>
          <w:lang w:val="en-US" w:eastAsia="zh-CN"/>
        </w:rPr>
        <w:t>工程量清单</w:t>
      </w:r>
      <w:r>
        <w:rPr>
          <w:rFonts w:hint="eastAsia" w:ascii="宋体" w:hAnsi="宋体" w:eastAsia="宋体" w:cs="宋体"/>
          <w:color w:val="auto"/>
          <w:sz w:val="28"/>
          <w:szCs w:val="28"/>
          <w:lang w:eastAsia="zh-CN"/>
        </w:rPr>
        <w:drawing>
          <wp:inline distT="0" distB="0" distL="114300" distR="114300">
            <wp:extent cx="5897245" cy="8339455"/>
            <wp:effectExtent l="0" t="0" r="8255" b="4445"/>
            <wp:docPr id="15" name="图片 15" descr="陕西省榆林市榆阳区2021年黄土高原水土流失综合治理项目地类不符整改项目.PDF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陕西省榆林市榆阳区2021年黄土高原水土流失综合治理项目地类不符整改项目.PDF清单_02"/>
                    <pic:cNvPicPr>
                      <a:picLocks noChangeAspect="1"/>
                    </pic:cNvPicPr>
                  </pic:nvPicPr>
                  <pic:blipFill>
                    <a:blip r:embed="rId32"/>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14" name="图片 14" descr="陕西省榆林市榆阳区2021年黄土高原水土流失综合治理项目地类不符整改项目.PDF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陕西省榆林市榆阳区2021年黄土高原水土流失综合治理项目地类不符整改项目.PDF清单_03"/>
                    <pic:cNvPicPr>
                      <a:picLocks noChangeAspect="1"/>
                    </pic:cNvPicPr>
                  </pic:nvPicPr>
                  <pic:blipFill>
                    <a:blip r:embed="rId33"/>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13" name="图片 13" descr="陕西省榆林市榆阳区2021年黄土高原水土流失综合治理项目地类不符整改项目.PDF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陕西省榆林市榆阳区2021年黄土高原水土流失综合治理项目地类不符整改项目.PDF清单_04"/>
                    <pic:cNvPicPr>
                      <a:picLocks noChangeAspect="1"/>
                    </pic:cNvPicPr>
                  </pic:nvPicPr>
                  <pic:blipFill>
                    <a:blip r:embed="rId34"/>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12" name="图片 12" descr="陕西省榆林市榆阳区2021年黄土高原水土流失综合治理项目地类不符整改项目.PDF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陕西省榆林市榆阳区2021年黄土高原水土流失综合治理项目地类不符整改项目.PDF清单_05"/>
                    <pic:cNvPicPr>
                      <a:picLocks noChangeAspect="1"/>
                    </pic:cNvPicPr>
                  </pic:nvPicPr>
                  <pic:blipFill>
                    <a:blip r:embed="rId35"/>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10" name="图片 10" descr="陕西省榆林市榆阳区2021年黄土高原水土流失综合治理项目地类不符整改项目.PDF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陕西省榆林市榆阳区2021年黄土高原水土流失综合治理项目地类不符整改项目.PDF清单_06"/>
                    <pic:cNvPicPr>
                      <a:picLocks noChangeAspect="1"/>
                    </pic:cNvPicPr>
                  </pic:nvPicPr>
                  <pic:blipFill>
                    <a:blip r:embed="rId36"/>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9" name="图片 9" descr="陕西省榆林市榆阳区2021年黄土高原水土流失综合治理项目地类不符整改项目.PDF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陕西省榆林市榆阳区2021年黄土高原水土流失综合治理项目地类不符整改项目.PDF清单_07"/>
                    <pic:cNvPicPr>
                      <a:picLocks noChangeAspect="1"/>
                    </pic:cNvPicPr>
                  </pic:nvPicPr>
                  <pic:blipFill>
                    <a:blip r:embed="rId37"/>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8" name="图片 8" descr="陕西省榆林市榆阳区2021年黄土高原水土流失综合治理项目地类不符整改项目.PDF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陕西省榆林市榆阳区2021年黄土高原水土流失综合治理项目地类不符整改项目.PDF清单_08"/>
                    <pic:cNvPicPr>
                      <a:picLocks noChangeAspect="1"/>
                    </pic:cNvPicPr>
                  </pic:nvPicPr>
                  <pic:blipFill>
                    <a:blip r:embed="rId38"/>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6" name="图片 6" descr="陕西省榆林市榆阳区2021年黄土高原水土流失综合治理项目地类不符整改项目.PDF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陕西省榆林市榆阳区2021年黄土高原水土流失综合治理项目地类不符整改项目.PDF清单_09"/>
                    <pic:cNvPicPr>
                      <a:picLocks noChangeAspect="1"/>
                    </pic:cNvPicPr>
                  </pic:nvPicPr>
                  <pic:blipFill>
                    <a:blip r:embed="rId39"/>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5" name="图片 5" descr="陕西省榆林市榆阳区2021年黄土高原水土流失综合治理项目地类不符整改项目.PDF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陕西省榆林市榆阳区2021年黄土高原水土流失综合治理项目地类不符整改项目.PDF清单_10"/>
                    <pic:cNvPicPr>
                      <a:picLocks noChangeAspect="1"/>
                    </pic:cNvPicPr>
                  </pic:nvPicPr>
                  <pic:blipFill>
                    <a:blip r:embed="rId40"/>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4" name="图片 4" descr="陕西省榆林市榆阳区2021年黄土高原水土流失综合治理项目地类不符整改项目.PDF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陕西省榆林市榆阳区2021年黄土高原水土流失综合治理项目地类不符整改项目.PDF清单_11"/>
                    <pic:cNvPicPr>
                      <a:picLocks noChangeAspect="1"/>
                    </pic:cNvPicPr>
                  </pic:nvPicPr>
                  <pic:blipFill>
                    <a:blip r:embed="rId41"/>
                    <a:stretch>
                      <a:fillRect/>
                    </a:stretch>
                  </pic:blipFill>
                  <pic:spPr>
                    <a:xfrm>
                      <a:off x="0" y="0"/>
                      <a:ext cx="5897245" cy="8339455"/>
                    </a:xfrm>
                    <a:prstGeom prst="rect">
                      <a:avLst/>
                    </a:prstGeom>
                  </pic:spPr>
                </pic:pic>
              </a:graphicData>
            </a:graphic>
          </wp:inline>
        </w:drawing>
      </w:r>
      <w:r>
        <w:rPr>
          <w:rFonts w:hint="eastAsia" w:ascii="宋体" w:hAnsi="宋体" w:eastAsia="宋体" w:cs="宋体"/>
          <w:color w:val="auto"/>
          <w:sz w:val="28"/>
          <w:szCs w:val="28"/>
          <w:lang w:eastAsia="zh-CN"/>
        </w:rPr>
        <w:drawing>
          <wp:inline distT="0" distB="0" distL="114300" distR="114300">
            <wp:extent cx="5897245" cy="8339455"/>
            <wp:effectExtent l="0" t="0" r="8255" b="4445"/>
            <wp:docPr id="3" name="图片 3" descr="陕西省榆林市榆阳区2021年黄土高原水土流失综合治理项目地类不符整改项目.PDF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陕西省榆林市榆阳区2021年黄土高原水土流失综合治理项目地类不符整改项目.PDF清单_12"/>
                    <pic:cNvPicPr>
                      <a:picLocks noChangeAspect="1"/>
                    </pic:cNvPicPr>
                  </pic:nvPicPr>
                  <pic:blipFill>
                    <a:blip r:embed="rId42"/>
                    <a:stretch>
                      <a:fillRect/>
                    </a:stretch>
                  </pic:blipFill>
                  <pic:spPr>
                    <a:xfrm>
                      <a:off x="0" y="0"/>
                      <a:ext cx="5897245" cy="8339455"/>
                    </a:xfrm>
                    <a:prstGeom prst="rect">
                      <a:avLst/>
                    </a:prstGeom>
                  </pic:spPr>
                </pic:pic>
              </a:graphicData>
            </a:graphic>
          </wp:inline>
        </w:drawing>
      </w:r>
    </w:p>
    <w:p w14:paraId="7E2788D2">
      <w:pPr>
        <w:pStyle w:val="33"/>
        <w:ind w:left="0" w:leftChars="0" w:firstLine="0" w:firstLineChars="0"/>
        <w:jc w:val="center"/>
        <w:rPr>
          <w:rFonts w:hint="eastAsia" w:ascii="宋体" w:hAnsi="宋体" w:eastAsia="宋体" w:cs="宋体"/>
          <w:color w:val="auto"/>
          <w:sz w:val="28"/>
          <w:szCs w:val="28"/>
          <w:lang w:eastAsia="zh-CN"/>
        </w:rPr>
      </w:pPr>
    </w:p>
    <w:p w14:paraId="1DEE1FB2">
      <w:pPr>
        <w:pStyle w:val="33"/>
        <w:ind w:left="0" w:leftChars="0" w:firstLine="0" w:firstLineChars="0"/>
        <w:rPr>
          <w:rFonts w:hint="eastAsia" w:ascii="宋体" w:hAnsi="宋体" w:eastAsia="宋体" w:cs="宋体"/>
          <w:color w:val="auto"/>
          <w:sz w:val="28"/>
          <w:szCs w:val="28"/>
          <w:lang w:eastAsia="zh-CN"/>
        </w:rPr>
      </w:pPr>
    </w:p>
    <w:p w14:paraId="67655D0D">
      <w:pPr>
        <w:pStyle w:val="8"/>
        <w:spacing w:before="71" w:line="224" w:lineRule="auto"/>
        <w:ind w:left="1862"/>
        <w:outlineLvl w:val="0"/>
        <w:rPr>
          <w:rFonts w:hint="eastAsia" w:ascii="宋体" w:hAnsi="宋体" w:eastAsia="宋体" w:cs="宋体"/>
          <w:color w:val="auto"/>
          <w:sz w:val="35"/>
          <w:szCs w:val="35"/>
        </w:rPr>
      </w:pPr>
      <w:bookmarkStart w:id="111" w:name="_Toc11095"/>
      <w:bookmarkStart w:id="112" w:name="_Toc31603"/>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榆阳区2021年黄土高原流失综合治理项目地类不符整改项目</w:t>
      </w:r>
    </w:p>
    <w:p w14:paraId="1C45B169">
      <w:pPr>
        <w:pStyle w:val="33"/>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15"/>
      <w:bookmarkEnd w:id="113"/>
      <w:bookmarkStart w:id="114" w:name="bookmark8"/>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34"/>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35"/>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35"/>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35"/>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35"/>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35"/>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35"/>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35"/>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35"/>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35"/>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8281"/>
      <w:bookmarkStart w:id="116" w:name="_Toc24324"/>
      <w:bookmarkStart w:id="117" w:name="_Toc14516"/>
      <w:bookmarkStart w:id="118" w:name="_Toc32424"/>
      <w:bookmarkStart w:id="119" w:name="_Toc5789"/>
      <w:bookmarkStart w:id="120" w:name="_Toc5982"/>
      <w:bookmarkStart w:id="121" w:name="_Toc18338"/>
      <w:bookmarkStart w:id="122" w:name="_Toc16358"/>
      <w:bookmarkStart w:id="123" w:name="_Toc528596085"/>
      <w:bookmarkStart w:id="124" w:name="_Toc18571"/>
      <w:bookmarkStart w:id="125" w:name="_Toc9321"/>
      <w:bookmarkStart w:id="126" w:name="_Toc16287"/>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榆林市榆阳区林业局、榆林市正源恒项目管理有限公司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33"/>
        <w:rPr>
          <w:rFonts w:hint="eastAsia" w:ascii="宋体" w:hAnsi="宋体" w:eastAsia="宋体" w:cs="宋体"/>
          <w:b/>
          <w:bCs/>
          <w:color w:val="auto"/>
          <w:lang w:eastAsia="zh-CN"/>
        </w:rPr>
      </w:pPr>
    </w:p>
    <w:p w14:paraId="31F4D5C5">
      <w:pPr>
        <w:pStyle w:val="33"/>
        <w:rPr>
          <w:rFonts w:hint="eastAsia" w:ascii="宋体" w:hAnsi="宋体" w:eastAsia="宋体" w:cs="宋体"/>
          <w:b/>
          <w:bCs/>
          <w:color w:val="auto"/>
          <w:lang w:eastAsia="zh-CN"/>
        </w:rPr>
      </w:pPr>
    </w:p>
    <w:p w14:paraId="3211CA52">
      <w:pPr>
        <w:pStyle w:val="33"/>
        <w:rPr>
          <w:rFonts w:hint="eastAsia" w:ascii="宋体" w:hAnsi="宋体" w:eastAsia="宋体" w:cs="宋体"/>
          <w:b/>
          <w:bCs/>
          <w:color w:val="auto"/>
          <w:lang w:eastAsia="zh-CN"/>
        </w:rPr>
      </w:pPr>
    </w:p>
    <w:p w14:paraId="093A101A">
      <w:pPr>
        <w:pStyle w:val="33"/>
        <w:rPr>
          <w:rFonts w:hint="eastAsia" w:ascii="宋体" w:hAnsi="宋体" w:eastAsia="宋体" w:cs="宋体"/>
          <w:b/>
          <w:bCs/>
          <w:color w:val="auto"/>
          <w:lang w:eastAsia="zh-CN"/>
        </w:rPr>
      </w:pPr>
    </w:p>
    <w:p w14:paraId="5A02E666">
      <w:pPr>
        <w:pStyle w:val="33"/>
        <w:rPr>
          <w:rFonts w:hint="eastAsia" w:ascii="宋体" w:hAnsi="宋体" w:eastAsia="宋体" w:cs="宋体"/>
          <w:b/>
          <w:bCs/>
          <w:color w:val="auto"/>
          <w:lang w:val="en-US" w:eastAsia="zh-CN"/>
        </w:rPr>
      </w:pP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5"/>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33"/>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33"/>
        <w:rPr>
          <w:rFonts w:hint="eastAsia" w:ascii="宋体" w:hAnsi="宋体" w:eastAsia="宋体" w:cs="宋体"/>
          <w:color w:val="auto"/>
          <w:sz w:val="28"/>
          <w:szCs w:val="28"/>
        </w:rPr>
      </w:pPr>
    </w:p>
    <w:p w14:paraId="18157120">
      <w:pPr>
        <w:pStyle w:val="33"/>
        <w:rPr>
          <w:rFonts w:hint="eastAsia" w:ascii="宋体" w:hAnsi="宋体" w:eastAsia="宋体" w:cs="宋体"/>
          <w:color w:val="auto"/>
          <w:sz w:val="28"/>
          <w:szCs w:val="28"/>
        </w:rPr>
      </w:pPr>
    </w:p>
    <w:p w14:paraId="21C9A99A">
      <w:pPr>
        <w:pStyle w:val="33"/>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3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33"/>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3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33"/>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3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9004" w:type="dxa"/>
            <w:gridSpan w:val="3"/>
            <w:vAlign w:val="top"/>
          </w:tcPr>
          <w:p w14:paraId="41A11E9B">
            <w:pPr>
              <w:pStyle w:val="3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35"/>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trPr>
        <w:tc>
          <w:tcPr>
            <w:tcW w:w="3243" w:type="dxa"/>
            <w:vAlign w:val="top"/>
          </w:tcPr>
          <w:p w14:paraId="05750DED">
            <w:pPr>
              <w:pStyle w:val="35"/>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3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35"/>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3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3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3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3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35"/>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35"/>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35"/>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35"/>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35"/>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3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3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3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3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3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35"/>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trPr>
        <w:tc>
          <w:tcPr>
            <w:tcW w:w="3243" w:type="dxa"/>
            <w:vAlign w:val="top"/>
          </w:tcPr>
          <w:p w14:paraId="134F3AF5">
            <w:pPr>
              <w:pStyle w:val="3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3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3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3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3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3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3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35"/>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35"/>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3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3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3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3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3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3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33"/>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33"/>
        <w:numPr>
          <w:ilvl w:val="0"/>
          <w:numId w:val="0"/>
        </w:numPr>
        <w:rPr>
          <w:rFonts w:hint="eastAsia" w:ascii="宋体" w:hAnsi="宋体" w:eastAsia="宋体" w:cs="宋体"/>
          <w:color w:val="auto"/>
          <w:sz w:val="24"/>
          <w:szCs w:val="24"/>
        </w:rPr>
      </w:pPr>
    </w:p>
    <w:p w14:paraId="78CD99C0">
      <w:pPr>
        <w:pStyle w:val="33"/>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33"/>
        <w:numPr>
          <w:ilvl w:val="0"/>
          <w:numId w:val="0"/>
        </w:numPr>
        <w:ind w:firstLine="480" w:firstLineChars="200"/>
        <w:rPr>
          <w:rFonts w:hint="eastAsia" w:ascii="宋体" w:hAnsi="宋体" w:eastAsia="宋体" w:cs="宋体"/>
          <w:color w:val="auto"/>
          <w:sz w:val="24"/>
          <w:szCs w:val="24"/>
          <w:lang w:eastAsia="zh-CN"/>
        </w:rPr>
      </w:pPr>
    </w:p>
    <w:p w14:paraId="469BADFE">
      <w:pPr>
        <w:pStyle w:val="33"/>
        <w:numPr>
          <w:ilvl w:val="0"/>
          <w:numId w:val="0"/>
        </w:numPr>
        <w:ind w:firstLine="480" w:firstLineChars="200"/>
        <w:rPr>
          <w:rFonts w:hint="eastAsia" w:ascii="宋体" w:hAnsi="宋体" w:eastAsia="宋体" w:cs="宋体"/>
          <w:color w:val="auto"/>
          <w:sz w:val="24"/>
          <w:szCs w:val="24"/>
          <w:lang w:eastAsia="zh-CN"/>
        </w:rPr>
      </w:pPr>
    </w:p>
    <w:p w14:paraId="397A6D5B">
      <w:pPr>
        <w:pStyle w:val="33"/>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34"/>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35"/>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35"/>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35"/>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35"/>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35"/>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34"/>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35"/>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35"/>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35"/>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35"/>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35"/>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35"/>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35"/>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35"/>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35"/>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35"/>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35"/>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35"/>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榆林市榆阳区林业局</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榆阳区2021年黄土高原流失综合治理项目地类不符整改项目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43"/>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44"/>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45"/>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46"/>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47"/>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48"/>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49"/>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50"/>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51"/>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52"/>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53"/>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54"/>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55"/>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52"/>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56"/>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abstractNum w:abstractNumId="4">
    <w:nsid w:val="7F55F953"/>
    <w:multiLevelType w:val="singleLevel"/>
    <w:tmpl w:val="7F55F953"/>
    <w:lvl w:ilvl="0" w:tentative="0">
      <w:start w:val="2"/>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BC37548"/>
    <w:rsid w:val="0F6C6610"/>
    <w:rsid w:val="112924ED"/>
    <w:rsid w:val="140125B1"/>
    <w:rsid w:val="17EE467F"/>
    <w:rsid w:val="19AB5200"/>
    <w:rsid w:val="1A194FE3"/>
    <w:rsid w:val="1B3063A9"/>
    <w:rsid w:val="1F824A3B"/>
    <w:rsid w:val="1FA4694F"/>
    <w:rsid w:val="207428B1"/>
    <w:rsid w:val="211D2DF7"/>
    <w:rsid w:val="214537B9"/>
    <w:rsid w:val="238017B1"/>
    <w:rsid w:val="25283E74"/>
    <w:rsid w:val="284B68D8"/>
    <w:rsid w:val="28507196"/>
    <w:rsid w:val="29340C59"/>
    <w:rsid w:val="2AAB7B00"/>
    <w:rsid w:val="2C123D8E"/>
    <w:rsid w:val="2D0C78F7"/>
    <w:rsid w:val="2E312AA7"/>
    <w:rsid w:val="2F326AD7"/>
    <w:rsid w:val="2F7075FF"/>
    <w:rsid w:val="31FD5849"/>
    <w:rsid w:val="32290E39"/>
    <w:rsid w:val="337D1A36"/>
    <w:rsid w:val="34382E6C"/>
    <w:rsid w:val="34713BFD"/>
    <w:rsid w:val="34C70289"/>
    <w:rsid w:val="359B1978"/>
    <w:rsid w:val="3614205F"/>
    <w:rsid w:val="39F72DF7"/>
    <w:rsid w:val="3A3E52EA"/>
    <w:rsid w:val="3A7410A8"/>
    <w:rsid w:val="3AE75D20"/>
    <w:rsid w:val="3B117EE8"/>
    <w:rsid w:val="3BDD20EC"/>
    <w:rsid w:val="3C165A9B"/>
    <w:rsid w:val="3D033860"/>
    <w:rsid w:val="3F3F6222"/>
    <w:rsid w:val="3FA15378"/>
    <w:rsid w:val="403437BF"/>
    <w:rsid w:val="4062643E"/>
    <w:rsid w:val="44FE14DD"/>
    <w:rsid w:val="46D00C57"/>
    <w:rsid w:val="47BE4F54"/>
    <w:rsid w:val="48A3196F"/>
    <w:rsid w:val="494C7490"/>
    <w:rsid w:val="4BD7649F"/>
    <w:rsid w:val="4C7B3E53"/>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6908F7"/>
    <w:rsid w:val="6B9D6805"/>
    <w:rsid w:val="705F155A"/>
    <w:rsid w:val="71B20DD6"/>
    <w:rsid w:val="72467B16"/>
    <w:rsid w:val="747E5C60"/>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character" w:styleId="21">
    <w:name w:val="Strong"/>
    <w:basedOn w:val="20"/>
    <w:qFormat/>
    <w:uiPriority w:val="0"/>
    <w:rPr>
      <w:b/>
      <w:bCs/>
    </w:rPr>
  </w:style>
  <w:style w:type="character" w:styleId="22">
    <w:name w:val="FollowedHyperlink"/>
    <w:basedOn w:val="20"/>
    <w:qFormat/>
    <w:uiPriority w:val="0"/>
    <w:rPr>
      <w:color w:val="800080"/>
      <w:u w:val="none"/>
    </w:rPr>
  </w:style>
  <w:style w:type="character" w:styleId="23">
    <w:name w:val="Emphasis"/>
    <w:basedOn w:val="20"/>
    <w:qFormat/>
    <w:uiPriority w:val="0"/>
    <w:rPr>
      <w:b/>
      <w:bCs/>
    </w:rPr>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hint="default" w:ascii="monospace" w:hAnsi="monospace" w:eastAsia="monospace" w:cs="monospace"/>
      <w:sz w:val="20"/>
    </w:rPr>
  </w:style>
  <w:style w:type="character" w:styleId="32">
    <w:name w:val="HTML Sample"/>
    <w:basedOn w:val="20"/>
    <w:qFormat/>
    <w:uiPriority w:val="0"/>
    <w:rPr>
      <w:rFonts w:ascii="monospace" w:hAnsi="monospace" w:eastAsia="monospace" w:cs="monospace"/>
    </w:rPr>
  </w:style>
  <w:style w:type="paragraph" w:customStyle="1" w:styleId="33">
    <w:name w:val="正文缩进1"/>
    <w:basedOn w:val="1"/>
    <w:autoRedefine/>
    <w:qFormat/>
    <w:uiPriority w:val="0"/>
    <w:pPr>
      <w:ind w:firstLine="420" w:firstLineChars="200"/>
    </w:pPr>
  </w:style>
  <w:style w:type="table" w:customStyle="1" w:styleId="34">
    <w:name w:val="Table Normal"/>
    <w:autoRedefine/>
    <w:semiHidden/>
    <w:unhideWhenUsed/>
    <w:qFormat/>
    <w:uiPriority w:val="0"/>
    <w:tblPr>
      <w:tblCellMar>
        <w:top w:w="0" w:type="dxa"/>
        <w:left w:w="0" w:type="dxa"/>
        <w:bottom w:w="0" w:type="dxa"/>
        <w:right w:w="0" w:type="dxa"/>
      </w:tblCellMar>
    </w:tblPr>
  </w:style>
  <w:style w:type="paragraph" w:customStyle="1" w:styleId="35">
    <w:name w:val="Table Text"/>
    <w:basedOn w:val="1"/>
    <w:autoRedefine/>
    <w:semiHidden/>
    <w:qFormat/>
    <w:uiPriority w:val="0"/>
    <w:rPr>
      <w:rFonts w:ascii="宋体" w:hAnsi="宋体" w:eastAsia="宋体" w:cs="宋体"/>
      <w:sz w:val="24"/>
      <w:szCs w:val="24"/>
      <w:lang w:val="en-US" w:eastAsia="en-US" w:bidi="ar-SA"/>
    </w:rPr>
  </w:style>
  <w:style w:type="paragraph" w:customStyle="1" w:styleId="36">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37">
    <w:name w:val="Heading1"/>
    <w:basedOn w:val="1"/>
    <w:next w:val="1"/>
    <w:autoRedefine/>
    <w:qFormat/>
    <w:uiPriority w:val="0"/>
    <w:pPr>
      <w:keepNext/>
      <w:keepLines/>
      <w:spacing w:line="360" w:lineRule="auto"/>
    </w:pPr>
    <w:rPr>
      <w:b/>
      <w:bCs/>
      <w:kern w:val="44"/>
      <w:sz w:val="32"/>
      <w:szCs w:val="44"/>
    </w:rPr>
  </w:style>
  <w:style w:type="paragraph" w:customStyle="1" w:styleId="38">
    <w:name w:val="Table Paragraph"/>
    <w:basedOn w:val="1"/>
    <w:qFormat/>
    <w:uiPriority w:val="1"/>
    <w:rPr>
      <w:rFonts w:ascii="宋体" w:hAnsi="宋体" w:eastAsia="宋体" w:cs="宋体"/>
      <w:lang w:val="zh-CN" w:eastAsia="zh-CN" w:bidi="zh-CN"/>
    </w:rPr>
  </w:style>
  <w:style w:type="character" w:customStyle="1" w:styleId="39">
    <w:name w:val="NormalCharacter"/>
    <w:link w:val="40"/>
    <w:qFormat/>
    <w:uiPriority w:val="0"/>
  </w:style>
  <w:style w:type="paragraph" w:customStyle="1" w:styleId="40">
    <w:name w:val="UserStyle_34"/>
    <w:basedOn w:val="1"/>
    <w:link w:val="39"/>
    <w:qFormat/>
    <w:uiPriority w:val="0"/>
  </w:style>
  <w:style w:type="paragraph" w:customStyle="1" w:styleId="41">
    <w:name w:val="Blockquote"/>
    <w:basedOn w:val="1"/>
    <w:qFormat/>
    <w:uiPriority w:val="0"/>
    <w:pPr>
      <w:autoSpaceDE w:val="0"/>
      <w:autoSpaceDN w:val="0"/>
      <w:adjustRightInd w:val="0"/>
      <w:ind w:left="360" w:right="360"/>
      <w:jc w:val="left"/>
    </w:pPr>
    <w:rPr>
      <w:sz w:val="24"/>
    </w:rPr>
  </w:style>
  <w:style w:type="paragraph" w:styleId="4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9" Type="http://schemas.openxmlformats.org/officeDocument/2006/relationships/fontTable" Target="fontTable.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27.jpeg"/><Relationship Id="rId55" Type="http://schemas.openxmlformats.org/officeDocument/2006/relationships/image" Target="media/image26.jpeg"/><Relationship Id="rId54" Type="http://schemas.openxmlformats.org/officeDocument/2006/relationships/image" Target="media/image25.jpeg"/><Relationship Id="rId53" Type="http://schemas.openxmlformats.org/officeDocument/2006/relationships/image" Target="media/image24.jpeg"/><Relationship Id="rId52" Type="http://schemas.openxmlformats.org/officeDocument/2006/relationships/image" Target="media/image23.jpeg"/><Relationship Id="rId51" Type="http://schemas.openxmlformats.org/officeDocument/2006/relationships/image" Target="media/image22.jpeg"/><Relationship Id="rId50" Type="http://schemas.openxmlformats.org/officeDocument/2006/relationships/image" Target="media/image21.jpeg"/><Relationship Id="rId5" Type="http://schemas.openxmlformats.org/officeDocument/2006/relationships/footer" Target="foot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jpeg"/><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png"/><Relationship Id="rId41" Type="http://schemas.openxmlformats.org/officeDocument/2006/relationships/image" Target="media/image12.png"/><Relationship Id="rId40" Type="http://schemas.openxmlformats.org/officeDocument/2006/relationships/image" Target="media/image11.png"/><Relationship Id="rId4" Type="http://schemas.openxmlformats.org/officeDocument/2006/relationships/endnotes" Target="endnotes.xml"/><Relationship Id="rId39" Type="http://schemas.openxmlformats.org/officeDocument/2006/relationships/image" Target="media/image10.png"/><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110</Pages>
  <Words>23079</Words>
  <Characters>25647</Characters>
  <TotalTime>44</TotalTime>
  <ScaleCrop>false</ScaleCrop>
  <LinksUpToDate>false</LinksUpToDate>
  <CharactersWithSpaces>26159</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2026-05-26T03:55:06Z</cp:lastPrinted>
  <dcterms:modified xsi:type="dcterms:W3CDTF">2026-05-26T04:06:19Z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2052-12.1.0.26375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