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版本号：DZDL-2026-020Z20260727001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2026年全省应急管理信息系统统一运维服务项目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DZDL-2026-020Z</w:t>
      </w:r>
      <w:r>
        <w:br/>
      </w:r>
      <w:r>
        <w:br/>
      </w:r>
      <w:r>
        <w:br/>
      </w:r>
    </w:p>
    <w:p>
      <w:pPr>
        <w:pStyle w:val="null3"/>
        <w:jc w:val="center"/>
        <w:outlineLvl w:val="2"/>
      </w:pPr>
      <w:r>
        <w:rPr>
          <w:rFonts w:ascii="仿宋_GB2312" w:hAnsi="仿宋_GB2312" w:cs="仿宋_GB2312" w:eastAsia="仿宋_GB2312"/>
          <w:sz w:val="28"/>
          <w:b/>
        </w:rPr>
        <w:t>陕西省应急管理厅</w:t>
      </w:r>
    </w:p>
    <w:p>
      <w:pPr>
        <w:pStyle w:val="null3"/>
        <w:jc w:val="center"/>
        <w:outlineLvl w:val="2"/>
      </w:pPr>
      <w:r>
        <w:rPr>
          <w:rFonts w:ascii="仿宋_GB2312" w:hAnsi="仿宋_GB2312" w:cs="仿宋_GB2312" w:eastAsia="仿宋_GB2312"/>
          <w:sz w:val="28"/>
          <w:b/>
        </w:rPr>
        <w:t>鼎正众创建设集团有限公司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鼎正众创建设集团有限公司</w:t>
      </w:r>
      <w:r>
        <w:rPr>
          <w:rFonts w:ascii="仿宋_GB2312" w:hAnsi="仿宋_GB2312" w:cs="仿宋_GB2312" w:eastAsia="仿宋_GB2312"/>
        </w:rPr>
        <w:t>（以下简称“代理机构”）受</w:t>
      </w:r>
      <w:r>
        <w:rPr>
          <w:rFonts w:ascii="仿宋_GB2312" w:hAnsi="仿宋_GB2312" w:cs="仿宋_GB2312" w:eastAsia="仿宋_GB2312"/>
        </w:rPr>
        <w:t>陕西省应急管理厅</w:t>
      </w:r>
      <w:r>
        <w:rPr>
          <w:rFonts w:ascii="仿宋_GB2312" w:hAnsi="仿宋_GB2312" w:cs="仿宋_GB2312" w:eastAsia="仿宋_GB2312"/>
        </w:rPr>
        <w:t>委托，拟对</w:t>
      </w:r>
      <w:r>
        <w:rPr>
          <w:rFonts w:ascii="仿宋_GB2312" w:hAnsi="仿宋_GB2312" w:cs="仿宋_GB2312" w:eastAsia="仿宋_GB2312"/>
        </w:rPr>
        <w:t>2026年全省应急管理信息系统统一运维服务项目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DZDL-2026-020Z</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2026年全省应急管理信息系统统一运维服务项目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2019年我省应急管理机构组建成立后，建设了全省应急管理信息化系统平台，实行“省级统建，省市县分级部署、分级使用”，避免重复建设和信息孤岛，确保建成的信息系统高度集成、共享协同、技术先进、应用便捷，保证数据统一和网络安全。2026年全省应急管理信息系统统一运维服务包括两个部分，一是厅机关应急管理信息系统运维服务，二是市、县（区）应急管理信息系统服务，具体服务内容及需求详见本项目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法定代表人授权委托书：法定代表人参加开标的，提供法定代表人身份证明书（附法定代表人身份证复印件）；法定代表人授权他人参加开标的，提供法定代表人授权委托书（附法定代表人身份证复印件及被授权人身份证复印件）。</w:t>
      </w:r>
    </w:p>
    <w:p>
      <w:pPr>
        <w:pStyle w:val="null3"/>
      </w:pPr>
      <w:r>
        <w:rPr>
          <w:rFonts w:ascii="仿宋_GB2312" w:hAnsi="仿宋_GB2312" w:cs="仿宋_GB2312" w:eastAsia="仿宋_GB2312"/>
        </w:rPr>
        <w:t>3、财务状况报告：①可提供2025年度（包含审计报告和审计报告中所涉及的财务报表和报表附注，审计报告须具有注册会计师行业统一监管平台（http：//acc.mof.gov.cn）赋予的验证码），②成立时间至提交响应文件截止时间不足一年的，可提供成立后任意时段完整的全套财务报表（应当包括资产负债表、利润表、现金流量表），③可提供截至响应文件提交截止日一年内银行出具的资信证明及供应商基本开户银行信息（以上三种形式的资料提供任何一种即可）。</w:t>
      </w:r>
    </w:p>
    <w:p>
      <w:pPr>
        <w:pStyle w:val="null3"/>
      </w:pPr>
      <w:r>
        <w:rPr>
          <w:rFonts w:ascii="仿宋_GB2312" w:hAnsi="仿宋_GB2312" w:cs="仿宋_GB2312" w:eastAsia="仿宋_GB2312"/>
        </w:rPr>
        <w:t>4、税收缴纳证明：提供投标人自2026年1月1日以来已缴纳任意时段的纳税凭据或完税证明（任意税种）；依法免税的应提供相关文件证明。</w:t>
      </w:r>
    </w:p>
    <w:p>
      <w:pPr>
        <w:pStyle w:val="null3"/>
      </w:pPr>
      <w:r>
        <w:rPr>
          <w:rFonts w:ascii="仿宋_GB2312" w:hAnsi="仿宋_GB2312" w:cs="仿宋_GB2312" w:eastAsia="仿宋_GB2312"/>
        </w:rPr>
        <w:t>5、社会保障资金缴纳证明：提供投标人自2026年1月1日以来已缴存的任意时段的社会保障资金缴存单据或社保机构开具的社会保险参保缴费情况证明；依法不需要缴纳社会保障资金的应提供相关文件证明。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6、书面声明：提供书面声明，包括具有履行合同所必需的设备和专业技术能力；未为本项目提供整体设计、规范编制或者项目管理、监理、检测等服务。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7、近三年无重大违法书面声明：提供《近三年无重大违法书面声明》。</w:t>
      </w:r>
    </w:p>
    <w:p>
      <w:pPr>
        <w:pStyle w:val="null3"/>
      </w:pPr>
      <w:r>
        <w:rPr>
          <w:rFonts w:ascii="仿宋_GB2312" w:hAnsi="仿宋_GB2312" w:cs="仿宋_GB2312" w:eastAsia="仿宋_GB2312"/>
        </w:rPr>
        <w:t>8、信用记录：投标人不得为列入“信用中国”网站(http://www.creditchina.gov.cn)“失信被执行人（页面跳转至“中国执行信息公开网”http://zxgk.court.gov.cn/shixin/）、重大税收违法失信主体、中国政府采购网(www.ccgp.gov.cn)的政府采购严重违法失信行为记录名单；（以采购人或采购代理机构开标当天查询结果为准）。</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9、控股管理关系：提供直接控股和管理关系清单。若与其他供应商存在单位负责人为同一人或者存在直接控股、管理关系的，不得同时参加本采购项目开标，否则响应无效。</w:t>
      </w:r>
    </w:p>
    <w:p>
      <w:pPr>
        <w:pStyle w:val="null3"/>
      </w:pPr>
      <w:r>
        <w:rPr>
          <w:rFonts w:ascii="仿宋_GB2312" w:hAnsi="仿宋_GB2312" w:cs="仿宋_GB2312" w:eastAsia="仿宋_GB2312"/>
        </w:rPr>
        <w:t>10、本项目不接受联合体投标，不允许分包：供应商应提供《非联合体不分包投标声明》，视为独立投标，不分包。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陕西省应急管理厅</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029-61166256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鼎正众创建设集团有限公司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西安市高新区科技路48号创业广场B座15层1506室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朱娟、贾晓慧、董蔷芳、孙笑梅、王超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15129241196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文件中服务类计费标准、《国家发展改革委关于降低部分建设项目收费标准规范收费行为等有关问题的通知》（发改价格〔2011〕534号）文件及《国家发展改革委关于进一步放开建设项目专业服务价格的通知》（发改价格〔2015〕299号）文件要求，以最终成交价为基数进行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陕西省应急管理厅</w:t>
      </w:r>
      <w:r>
        <w:rPr>
          <w:rFonts w:ascii="仿宋_GB2312" w:hAnsi="仿宋_GB2312" w:cs="仿宋_GB2312" w:eastAsia="仿宋_GB2312"/>
        </w:rPr>
        <w:t>和</w:t>
      </w:r>
      <w:r>
        <w:rPr>
          <w:rFonts w:ascii="仿宋_GB2312" w:hAnsi="仿宋_GB2312" w:cs="仿宋_GB2312" w:eastAsia="仿宋_GB2312"/>
        </w:rPr>
        <w:t>鼎正众创建设集团有限公司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陕西省应急管理厅</w:t>
      </w:r>
      <w:r>
        <w:rPr>
          <w:rFonts w:ascii="仿宋_GB2312" w:hAnsi="仿宋_GB2312" w:cs="仿宋_GB2312" w:eastAsia="仿宋_GB2312"/>
        </w:rPr>
        <w:t>负责解释。除上述招标文件内容，其他内容由</w:t>
      </w:r>
      <w:r>
        <w:rPr>
          <w:rFonts w:ascii="仿宋_GB2312" w:hAnsi="仿宋_GB2312" w:cs="仿宋_GB2312" w:eastAsia="仿宋_GB2312"/>
        </w:rPr>
        <w:t>鼎正众创建设集团有限公司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陕西省应急管理厅</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鼎正众创建设集团有限公司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按采购人要求执行。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提供的所有服务应符合国家有关行业规范和标准以及采购人相关要求。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联系人：朱娟、孙笑梅、王超</w:t>
      </w:r>
    </w:p>
    <w:p>
      <w:pPr>
        <w:pStyle w:val="null3"/>
      </w:pPr>
      <w:r>
        <w:rPr>
          <w:rFonts w:ascii="仿宋_GB2312" w:hAnsi="仿宋_GB2312" w:cs="仿宋_GB2312" w:eastAsia="仿宋_GB2312"/>
        </w:rPr>
        <w:t>联系电话：15129241196</w:t>
      </w:r>
    </w:p>
    <w:p>
      <w:pPr>
        <w:pStyle w:val="null3"/>
      </w:pPr>
      <w:r>
        <w:rPr>
          <w:rFonts w:ascii="仿宋_GB2312" w:hAnsi="仿宋_GB2312" w:cs="仿宋_GB2312" w:eastAsia="仿宋_GB2312"/>
        </w:rPr>
        <w:t>地址：西安市高新区科技路48号创业广场B座15层1506室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2019年我省应急管理机构组建成立后，建设了全省应急管理信息化系统平台，实行“省级统建，省市县分级部署、分级使用”，避免重复建设和信息孤岛，确保建成的信息系统高度集成、共享协同、技术先进、应用便捷，保证数据统一和网络安全。2026年全省应急管理信息系统统一运维服务包括两个部分，一是厅机关应急管理信息系统运维服务，二是市、县（区）应急管理信息系统服务，具体服务内容及需求详见本项目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19,000,000.00</w:t>
      </w:r>
    </w:p>
    <w:p>
      <w:pPr>
        <w:pStyle w:val="null3"/>
      </w:pPr>
      <w:r>
        <w:rPr>
          <w:rFonts w:ascii="仿宋_GB2312" w:hAnsi="仿宋_GB2312" w:cs="仿宋_GB2312" w:eastAsia="仿宋_GB2312"/>
        </w:rPr>
        <w:t>采购包最高限价（元）: 19,000,000.00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19000000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19,000,000.00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标的名称：19000000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left"/>
            </w:pPr>
            <w:r>
              <w:rPr>
                <w:rFonts w:ascii="仿宋_GB2312" w:hAnsi="仿宋_GB2312" w:cs="仿宋_GB2312" w:eastAsia="仿宋_GB2312"/>
                <w:sz w:val="20"/>
                <w:color w:val="0000FF"/>
              </w:rPr>
              <w:t>一、项目背景</w:t>
            </w:r>
          </w:p>
          <w:p>
            <w:pPr>
              <w:pStyle w:val="null3"/>
              <w:ind w:firstLine="400"/>
              <w:jc w:val="both"/>
            </w:pPr>
            <w:r>
              <w:rPr>
                <w:rFonts w:ascii="仿宋_GB2312" w:hAnsi="仿宋_GB2312" w:cs="仿宋_GB2312" w:eastAsia="仿宋_GB2312"/>
                <w:sz w:val="20"/>
                <w:color w:val="0000FF"/>
              </w:rPr>
              <w:t>2019年我省应急管理机构组建成立后，建设了全省应急管理信息化系统平台，实行“省级统建，省市县分级部署、分级使用”，避免重复建设和信息孤岛，确保建成的信息系统高度集成、共享协同、技术先进、应用便捷，保证数据统一和网络安全。</w:t>
            </w:r>
          </w:p>
          <w:p>
            <w:pPr>
              <w:pStyle w:val="null3"/>
              <w:ind w:firstLine="400"/>
              <w:jc w:val="both"/>
            </w:pPr>
            <w:r>
              <w:rPr>
                <w:rFonts w:ascii="仿宋_GB2312" w:hAnsi="仿宋_GB2312" w:cs="仿宋_GB2312" w:eastAsia="仿宋_GB2312"/>
                <w:sz w:val="20"/>
                <w:color w:val="0000FF"/>
              </w:rPr>
              <w:t>根据近年来全国应急管理科技和信息化工作会议有关精神和领导批示，要求以省为单位，实行应急管理信息系统全省统一运维，以保证系统安全性和高效通畅。结合我省应急管理系统专业运维技术人才较少、运维效率较低，特别是市、县（区）缺乏信息化专业技术团队的实际，为牢固树立运维保障的科信生命线地位，决定由省厅采购运维服务，为省、市、县（区）统一配备运维力量，建立全省统一运维保障模式，加强基层运维保障能力，提升运维保障水平。</w:t>
            </w:r>
          </w:p>
          <w:p>
            <w:pPr>
              <w:pStyle w:val="null3"/>
              <w:ind w:firstLine="361"/>
              <w:jc w:val="both"/>
            </w:pPr>
            <w:r>
              <w:rPr>
                <w:rFonts w:ascii="仿宋_GB2312" w:hAnsi="仿宋_GB2312" w:cs="仿宋_GB2312" w:eastAsia="仿宋_GB2312"/>
                <w:color w:val="0000FF"/>
              </w:rPr>
              <w:t>2026年全省应急管理信息系统统一运维服务包括两个部分，一是厅机关应急管理信息系统运维服务，二是市、县（区）应急管理信息系统服务。</w:t>
            </w:r>
          </w:p>
          <w:p>
            <w:pPr>
              <w:pStyle w:val="null3"/>
              <w:ind w:firstLine="361"/>
              <w:jc w:val="both"/>
            </w:pPr>
            <w:r>
              <w:rPr>
                <w:rFonts w:ascii="仿宋_GB2312" w:hAnsi="仿宋_GB2312" w:cs="仿宋_GB2312" w:eastAsia="仿宋_GB2312"/>
                <w:color w:val="0000FF"/>
              </w:rPr>
              <w:t>二、</w:t>
            </w:r>
            <w:r>
              <w:rPr>
                <w:rFonts w:ascii="仿宋_GB2312" w:hAnsi="仿宋_GB2312" w:cs="仿宋_GB2312" w:eastAsia="仿宋_GB2312"/>
                <w:color w:val="0000FF"/>
              </w:rPr>
              <w:t>全省应急管理信息系统统一运维服务需求</w:t>
            </w:r>
          </w:p>
          <w:p>
            <w:pPr>
              <w:pStyle w:val="null3"/>
              <w:ind w:firstLine="361"/>
              <w:jc w:val="both"/>
            </w:pPr>
            <w:r>
              <w:rPr>
                <w:rFonts w:ascii="仿宋_GB2312" w:hAnsi="仿宋_GB2312" w:cs="仿宋_GB2312" w:eastAsia="仿宋_GB2312"/>
                <w:color w:val="0000FF"/>
              </w:rPr>
              <w:t>1、</w:t>
            </w:r>
            <w:r>
              <w:rPr>
                <w:rFonts w:ascii="仿宋_GB2312" w:hAnsi="仿宋_GB2312" w:cs="仿宋_GB2312" w:eastAsia="仿宋_GB2312"/>
                <w:color w:val="0000FF"/>
              </w:rPr>
              <w:t>运维服务范围</w:t>
            </w:r>
          </w:p>
          <w:p>
            <w:pPr>
              <w:pStyle w:val="null3"/>
              <w:ind w:firstLine="361"/>
              <w:jc w:val="both"/>
            </w:pPr>
            <w:r>
              <w:rPr>
                <w:rFonts w:ascii="仿宋_GB2312" w:hAnsi="仿宋_GB2312" w:cs="仿宋_GB2312" w:eastAsia="仿宋_GB2312"/>
                <w:color w:val="0000FF"/>
              </w:rPr>
              <w:t>（</w:t>
            </w:r>
            <w:r>
              <w:rPr>
                <w:rFonts w:ascii="仿宋_GB2312" w:hAnsi="仿宋_GB2312" w:cs="仿宋_GB2312" w:eastAsia="仿宋_GB2312"/>
                <w:color w:val="0000FF"/>
              </w:rPr>
              <w:t>1）</w:t>
            </w:r>
            <w:r>
              <w:rPr>
                <w:rFonts w:ascii="仿宋_GB2312" w:hAnsi="仿宋_GB2312" w:cs="仿宋_GB2312" w:eastAsia="仿宋_GB2312"/>
                <w:color w:val="0000FF"/>
              </w:rPr>
              <w:t>厅机关应急管理信息系统运维</w:t>
            </w:r>
          </w:p>
          <w:p>
            <w:pPr>
              <w:pStyle w:val="null3"/>
              <w:ind w:firstLine="361"/>
              <w:jc w:val="both"/>
            </w:pPr>
            <w:r>
              <w:rPr>
                <w:rFonts w:ascii="仿宋_GB2312" w:hAnsi="仿宋_GB2312" w:cs="仿宋_GB2312" w:eastAsia="仿宋_GB2312"/>
                <w:color w:val="0000FF"/>
              </w:rPr>
              <w:t>①</w:t>
            </w:r>
            <w:r>
              <w:rPr>
                <w:rFonts w:ascii="仿宋_GB2312" w:hAnsi="仿宋_GB2312" w:cs="仿宋_GB2312" w:eastAsia="仿宋_GB2312"/>
                <w:color w:val="0000FF"/>
              </w:rPr>
              <w:t>强电机房</w:t>
            </w:r>
            <w:r>
              <w:rPr>
                <w:rFonts w:ascii="仿宋_GB2312" w:hAnsi="仿宋_GB2312" w:cs="仿宋_GB2312" w:eastAsia="仿宋_GB2312"/>
                <w:color w:val="0000FF"/>
              </w:rPr>
              <w:t>；</w:t>
            </w:r>
          </w:p>
          <w:p>
            <w:pPr>
              <w:pStyle w:val="null3"/>
              <w:ind w:firstLine="361"/>
              <w:jc w:val="both"/>
            </w:pPr>
            <w:r>
              <w:rPr>
                <w:rFonts w:ascii="仿宋_GB2312" w:hAnsi="仿宋_GB2312" w:cs="仿宋_GB2312" w:eastAsia="仿宋_GB2312"/>
                <w:color w:val="0000FF"/>
              </w:rPr>
              <w:t>②</w:t>
            </w:r>
            <w:r>
              <w:rPr>
                <w:rFonts w:ascii="仿宋_GB2312" w:hAnsi="仿宋_GB2312" w:cs="仿宋_GB2312" w:eastAsia="仿宋_GB2312"/>
                <w:color w:val="0000FF"/>
              </w:rPr>
              <w:t>中心机房</w:t>
            </w:r>
            <w:r>
              <w:rPr>
                <w:rFonts w:ascii="仿宋_GB2312" w:hAnsi="仿宋_GB2312" w:cs="仿宋_GB2312" w:eastAsia="仿宋_GB2312"/>
                <w:color w:val="0000FF"/>
              </w:rPr>
              <w:t>；</w:t>
            </w:r>
          </w:p>
          <w:p>
            <w:pPr>
              <w:pStyle w:val="null3"/>
              <w:ind w:firstLine="361"/>
              <w:jc w:val="both"/>
            </w:pPr>
            <w:r>
              <w:rPr>
                <w:rFonts w:ascii="仿宋_GB2312" w:hAnsi="仿宋_GB2312" w:cs="仿宋_GB2312" w:eastAsia="仿宋_GB2312"/>
                <w:color w:val="0000FF"/>
              </w:rPr>
              <w:t>③</w:t>
            </w:r>
            <w:r>
              <w:rPr>
                <w:rFonts w:ascii="仿宋_GB2312" w:hAnsi="仿宋_GB2312" w:cs="仿宋_GB2312" w:eastAsia="仿宋_GB2312"/>
                <w:color w:val="0000FF"/>
              </w:rPr>
              <w:t>视频会议室</w:t>
            </w:r>
            <w:r>
              <w:rPr>
                <w:rFonts w:ascii="仿宋_GB2312" w:hAnsi="仿宋_GB2312" w:cs="仿宋_GB2312" w:eastAsia="仿宋_GB2312"/>
                <w:color w:val="0000FF"/>
              </w:rPr>
              <w:t>；</w:t>
            </w:r>
          </w:p>
          <w:p>
            <w:pPr>
              <w:pStyle w:val="null3"/>
              <w:ind w:firstLine="361"/>
              <w:jc w:val="both"/>
            </w:pPr>
            <w:r>
              <w:rPr>
                <w:rFonts w:ascii="仿宋_GB2312" w:hAnsi="仿宋_GB2312" w:cs="仿宋_GB2312" w:eastAsia="仿宋_GB2312"/>
                <w:color w:val="0000FF"/>
              </w:rPr>
              <w:t>④</w:t>
            </w:r>
            <w:r>
              <w:rPr>
                <w:rFonts w:ascii="仿宋_GB2312" w:hAnsi="仿宋_GB2312" w:cs="仿宋_GB2312" w:eastAsia="仿宋_GB2312"/>
                <w:color w:val="0000FF"/>
              </w:rPr>
              <w:t>指挥大厅</w:t>
            </w:r>
            <w:r>
              <w:rPr>
                <w:rFonts w:ascii="仿宋_GB2312" w:hAnsi="仿宋_GB2312" w:cs="仿宋_GB2312" w:eastAsia="仿宋_GB2312"/>
                <w:color w:val="0000FF"/>
              </w:rPr>
              <w:t>；</w:t>
            </w:r>
          </w:p>
          <w:p>
            <w:pPr>
              <w:pStyle w:val="null3"/>
              <w:ind w:firstLine="361"/>
              <w:jc w:val="both"/>
            </w:pPr>
            <w:r>
              <w:rPr>
                <w:rFonts w:ascii="仿宋_GB2312" w:hAnsi="仿宋_GB2312" w:cs="仿宋_GB2312" w:eastAsia="仿宋_GB2312"/>
                <w:color w:val="0000FF"/>
              </w:rPr>
              <w:t>⑤</w:t>
            </w:r>
            <w:r>
              <w:rPr>
                <w:rFonts w:ascii="仿宋_GB2312" w:hAnsi="仿宋_GB2312" w:cs="仿宋_GB2312" w:eastAsia="仿宋_GB2312"/>
                <w:color w:val="0000FF"/>
              </w:rPr>
              <w:t>省级卫星通信移动应急平台</w:t>
            </w:r>
            <w:r>
              <w:rPr>
                <w:rFonts w:ascii="仿宋_GB2312" w:hAnsi="仿宋_GB2312" w:cs="仿宋_GB2312" w:eastAsia="仿宋_GB2312"/>
                <w:color w:val="0000FF"/>
              </w:rPr>
              <w:t>。</w:t>
            </w:r>
          </w:p>
          <w:p>
            <w:pPr>
              <w:pStyle w:val="null3"/>
              <w:ind w:firstLine="361"/>
              <w:jc w:val="both"/>
            </w:pPr>
            <w:r>
              <w:rPr>
                <w:rFonts w:ascii="仿宋_GB2312" w:hAnsi="仿宋_GB2312" w:cs="仿宋_GB2312" w:eastAsia="仿宋_GB2312"/>
                <w:color w:val="0000FF"/>
              </w:rPr>
              <w:t>⑥</w:t>
            </w:r>
            <w:r>
              <w:rPr>
                <w:rFonts w:ascii="仿宋_GB2312" w:hAnsi="仿宋_GB2312" w:cs="仿宋_GB2312" w:eastAsia="仿宋_GB2312"/>
                <w:color w:val="0000FF"/>
              </w:rPr>
              <w:t>语音及数字链路</w:t>
            </w:r>
            <w:r>
              <w:rPr>
                <w:rFonts w:ascii="仿宋_GB2312" w:hAnsi="仿宋_GB2312" w:cs="仿宋_GB2312" w:eastAsia="仿宋_GB2312"/>
                <w:color w:val="0000FF"/>
              </w:rPr>
              <w:t>。</w:t>
            </w:r>
          </w:p>
          <w:p>
            <w:pPr>
              <w:pStyle w:val="null3"/>
              <w:ind w:firstLine="361"/>
              <w:jc w:val="both"/>
            </w:pPr>
            <w:r>
              <w:rPr>
                <w:rFonts w:ascii="仿宋_GB2312" w:hAnsi="仿宋_GB2312" w:cs="仿宋_GB2312" w:eastAsia="仿宋_GB2312"/>
                <w:color w:val="0000FF"/>
              </w:rPr>
              <w:t>（</w:t>
            </w:r>
            <w:r>
              <w:rPr>
                <w:rFonts w:ascii="仿宋_GB2312" w:hAnsi="仿宋_GB2312" w:cs="仿宋_GB2312" w:eastAsia="仿宋_GB2312"/>
                <w:color w:val="0000FF"/>
              </w:rPr>
              <w:t>2）</w:t>
            </w:r>
            <w:r>
              <w:rPr>
                <w:rFonts w:ascii="仿宋_GB2312" w:hAnsi="仿宋_GB2312" w:cs="仿宋_GB2312" w:eastAsia="仿宋_GB2312"/>
                <w:color w:val="0000FF"/>
              </w:rPr>
              <w:t>设区市和杨凌示范区以及所辖县区应急管理信息系统运维</w:t>
            </w:r>
          </w:p>
          <w:p>
            <w:pPr>
              <w:pStyle w:val="null3"/>
              <w:ind w:firstLine="361"/>
              <w:jc w:val="both"/>
            </w:pPr>
            <w:r>
              <w:rPr>
                <w:rFonts w:ascii="仿宋_GB2312" w:hAnsi="仿宋_GB2312" w:cs="仿宋_GB2312" w:eastAsia="仿宋_GB2312"/>
                <w:color w:val="0000FF"/>
              </w:rPr>
              <w:t>①</w:t>
            </w:r>
            <w:r>
              <w:rPr>
                <w:rFonts w:ascii="仿宋_GB2312" w:hAnsi="仿宋_GB2312" w:cs="仿宋_GB2312" w:eastAsia="仿宋_GB2312"/>
                <w:color w:val="0000FF"/>
              </w:rPr>
              <w:t>设区市应急局名称</w:t>
            </w:r>
            <w:r>
              <w:rPr>
                <w:rFonts w:ascii="仿宋_GB2312" w:hAnsi="仿宋_GB2312" w:cs="仿宋_GB2312" w:eastAsia="仿宋_GB2312"/>
                <w:color w:val="0000FF"/>
              </w:rPr>
              <w:t>，全省共计</w:t>
            </w:r>
            <w:r>
              <w:rPr>
                <w:rFonts w:ascii="仿宋_GB2312" w:hAnsi="仿宋_GB2312" w:cs="仿宋_GB2312" w:eastAsia="仿宋_GB2312"/>
                <w:color w:val="0000FF"/>
              </w:rPr>
              <w:t>11个</w:t>
            </w:r>
            <w:r>
              <w:rPr>
                <w:rFonts w:ascii="仿宋_GB2312" w:hAnsi="仿宋_GB2312" w:cs="仿宋_GB2312" w:eastAsia="仿宋_GB2312"/>
                <w:color w:val="0000FF"/>
              </w:rPr>
              <w:t>区市应急局</w:t>
            </w:r>
            <w:r>
              <w:rPr>
                <w:rFonts w:ascii="仿宋_GB2312" w:hAnsi="仿宋_GB2312" w:cs="仿宋_GB2312" w:eastAsia="仿宋_GB2312"/>
                <w:color w:val="0000FF"/>
              </w:rPr>
              <w:t>；</w:t>
            </w:r>
          </w:p>
          <w:p>
            <w:pPr>
              <w:pStyle w:val="null3"/>
              <w:ind w:firstLine="361"/>
              <w:jc w:val="both"/>
            </w:pPr>
            <w:r>
              <w:rPr>
                <w:rFonts w:ascii="仿宋_GB2312" w:hAnsi="仿宋_GB2312" w:cs="仿宋_GB2312" w:eastAsia="仿宋_GB2312"/>
                <w:color w:val="0000FF"/>
              </w:rPr>
              <w:t>②</w:t>
            </w:r>
            <w:r>
              <w:rPr>
                <w:rFonts w:ascii="仿宋_GB2312" w:hAnsi="仿宋_GB2312" w:cs="仿宋_GB2312" w:eastAsia="仿宋_GB2312"/>
                <w:color w:val="0000FF"/>
              </w:rPr>
              <w:t>县区（含高新区、开发区）应急管理局名称</w:t>
            </w:r>
            <w:r>
              <w:rPr>
                <w:rFonts w:ascii="仿宋_GB2312" w:hAnsi="仿宋_GB2312" w:cs="仿宋_GB2312" w:eastAsia="仿宋_GB2312"/>
                <w:color w:val="0000FF"/>
              </w:rPr>
              <w:t>，全省共计</w:t>
            </w:r>
            <w:r>
              <w:rPr>
                <w:rFonts w:ascii="仿宋_GB2312" w:hAnsi="仿宋_GB2312" w:cs="仿宋_GB2312" w:eastAsia="仿宋_GB2312"/>
                <w:color w:val="0000FF"/>
              </w:rPr>
              <w:t>123个</w:t>
            </w:r>
            <w:r>
              <w:rPr>
                <w:rFonts w:ascii="仿宋_GB2312" w:hAnsi="仿宋_GB2312" w:cs="仿宋_GB2312" w:eastAsia="仿宋_GB2312"/>
                <w:color w:val="0000FF"/>
              </w:rPr>
              <w:t>县区（含高新区、开发区）应急管理局</w:t>
            </w:r>
            <w:r>
              <w:rPr>
                <w:rFonts w:ascii="仿宋_GB2312" w:hAnsi="仿宋_GB2312" w:cs="仿宋_GB2312" w:eastAsia="仿宋_GB2312"/>
                <w:color w:val="0000FF"/>
              </w:rPr>
              <w:t>；</w:t>
            </w:r>
          </w:p>
          <w:p>
            <w:pPr>
              <w:pStyle w:val="null3"/>
              <w:ind w:firstLine="361"/>
              <w:jc w:val="both"/>
            </w:pPr>
            <w:r>
              <w:rPr>
                <w:rFonts w:ascii="仿宋_GB2312" w:hAnsi="仿宋_GB2312" w:cs="仿宋_GB2312" w:eastAsia="仿宋_GB2312"/>
                <w:color w:val="0000FF"/>
              </w:rPr>
              <w:t>③</w:t>
            </w:r>
            <w:r>
              <w:rPr>
                <w:rFonts w:ascii="仿宋_GB2312" w:hAnsi="仿宋_GB2312" w:cs="仿宋_GB2312" w:eastAsia="仿宋_GB2312"/>
                <w:color w:val="0000FF"/>
              </w:rPr>
              <w:t>视频会议系统</w:t>
            </w:r>
            <w:r>
              <w:rPr>
                <w:rFonts w:ascii="仿宋_GB2312" w:hAnsi="仿宋_GB2312" w:cs="仿宋_GB2312" w:eastAsia="仿宋_GB2312"/>
                <w:color w:val="0000FF"/>
              </w:rPr>
              <w:t>；</w:t>
            </w:r>
          </w:p>
          <w:p>
            <w:pPr>
              <w:pStyle w:val="null3"/>
              <w:ind w:firstLine="361"/>
              <w:jc w:val="both"/>
            </w:pPr>
            <w:r>
              <w:rPr>
                <w:rFonts w:ascii="仿宋_GB2312" w:hAnsi="仿宋_GB2312" w:cs="仿宋_GB2312" w:eastAsia="仿宋_GB2312"/>
                <w:color w:val="0000FF"/>
              </w:rPr>
              <w:t>④</w:t>
            </w:r>
            <w:r>
              <w:rPr>
                <w:rFonts w:ascii="仿宋_GB2312" w:hAnsi="仿宋_GB2312" w:cs="仿宋_GB2312" w:eastAsia="仿宋_GB2312"/>
                <w:color w:val="0000FF"/>
              </w:rPr>
              <w:t>370M窄带通信系统</w:t>
            </w:r>
            <w:r>
              <w:rPr>
                <w:rFonts w:ascii="仿宋_GB2312" w:hAnsi="仿宋_GB2312" w:cs="仿宋_GB2312" w:eastAsia="仿宋_GB2312"/>
                <w:color w:val="0000FF"/>
              </w:rPr>
              <w:t>；</w:t>
            </w:r>
          </w:p>
          <w:p>
            <w:pPr>
              <w:pStyle w:val="null3"/>
              <w:ind w:firstLine="361"/>
              <w:jc w:val="both"/>
            </w:pPr>
            <w:r>
              <w:rPr>
                <w:rFonts w:ascii="仿宋_GB2312" w:hAnsi="仿宋_GB2312" w:cs="仿宋_GB2312" w:eastAsia="仿宋_GB2312"/>
                <w:color w:val="0000FF"/>
              </w:rPr>
              <w:t>⑤</w:t>
            </w:r>
            <w:r>
              <w:rPr>
                <w:rFonts w:ascii="仿宋_GB2312" w:hAnsi="仿宋_GB2312" w:cs="仿宋_GB2312" w:eastAsia="仿宋_GB2312"/>
                <w:color w:val="0000FF"/>
              </w:rPr>
              <w:t>卫星通信应急移动平台</w:t>
            </w:r>
            <w:r>
              <w:rPr>
                <w:rFonts w:ascii="仿宋_GB2312" w:hAnsi="仿宋_GB2312" w:cs="仿宋_GB2312" w:eastAsia="仿宋_GB2312"/>
                <w:color w:val="0000FF"/>
              </w:rPr>
              <w:t>。</w:t>
            </w:r>
          </w:p>
          <w:p>
            <w:pPr>
              <w:pStyle w:val="null3"/>
              <w:ind w:firstLine="361"/>
              <w:jc w:val="both"/>
            </w:pPr>
            <w:r>
              <w:rPr>
                <w:rFonts w:ascii="仿宋_GB2312" w:hAnsi="仿宋_GB2312" w:cs="仿宋_GB2312" w:eastAsia="仿宋_GB2312"/>
                <w:color w:val="0000FF"/>
              </w:rPr>
              <w:t>2、运维服务目标</w:t>
            </w:r>
          </w:p>
          <w:p>
            <w:pPr>
              <w:pStyle w:val="null3"/>
              <w:ind w:firstLine="361"/>
              <w:jc w:val="both"/>
            </w:pPr>
            <w:r>
              <w:rPr>
                <w:rFonts w:ascii="仿宋_GB2312" w:hAnsi="仿宋_GB2312" w:cs="仿宋_GB2312" w:eastAsia="仿宋_GB2312"/>
                <w:color w:val="0000FF"/>
              </w:rPr>
              <w:t>总体目标：确保所有服务范围内的软硬件设施均处于良好的运行状态。</w:t>
            </w:r>
          </w:p>
          <w:p>
            <w:pPr>
              <w:pStyle w:val="null3"/>
              <w:ind w:firstLine="361"/>
              <w:jc w:val="both"/>
            </w:pPr>
            <w:r>
              <w:rPr>
                <w:rFonts w:ascii="仿宋_GB2312" w:hAnsi="仿宋_GB2312" w:cs="仿宋_GB2312" w:eastAsia="仿宋_GB2312"/>
                <w:color w:val="0000FF"/>
              </w:rPr>
              <w:t>设施设备保养目标：达到</w:t>
            </w:r>
            <w:r>
              <w:rPr>
                <w:rFonts w:ascii="仿宋_GB2312" w:hAnsi="仿宋_GB2312" w:cs="仿宋_GB2312" w:eastAsia="仿宋_GB2312"/>
                <w:color w:val="0000FF"/>
              </w:rPr>
              <w:t>95%以上的完好率。</w:t>
            </w:r>
          </w:p>
          <w:p>
            <w:pPr>
              <w:pStyle w:val="null3"/>
              <w:ind w:firstLine="361"/>
              <w:jc w:val="both"/>
            </w:pPr>
            <w:r>
              <w:rPr>
                <w:rFonts w:ascii="仿宋_GB2312" w:hAnsi="仿宋_GB2312" w:cs="仿宋_GB2312" w:eastAsia="仿宋_GB2312"/>
                <w:color w:val="0000FF"/>
              </w:rPr>
              <w:t>安全管理目标：生产安全、消防安全、保密安全等严格按照国家相关</w:t>
            </w:r>
            <w:r>
              <w:rPr>
                <w:rFonts w:ascii="仿宋_GB2312" w:hAnsi="仿宋_GB2312" w:cs="仿宋_GB2312" w:eastAsia="仿宋_GB2312"/>
                <w:color w:val="0000FF"/>
              </w:rPr>
              <w:t>法律法规</w:t>
            </w:r>
            <w:r>
              <w:rPr>
                <w:rFonts w:ascii="仿宋_GB2312" w:hAnsi="仿宋_GB2312" w:cs="仿宋_GB2312" w:eastAsia="仿宋_GB2312"/>
                <w:color w:val="0000FF"/>
              </w:rPr>
              <w:t>、规章、条例及采购单位的要求执行，达到零事故的管理目标。</w:t>
            </w:r>
          </w:p>
          <w:p>
            <w:pPr>
              <w:pStyle w:val="null3"/>
              <w:ind w:firstLine="361"/>
              <w:jc w:val="both"/>
            </w:pPr>
            <w:r>
              <w:rPr>
                <w:rFonts w:ascii="仿宋_GB2312" w:hAnsi="仿宋_GB2312" w:cs="仿宋_GB2312" w:eastAsia="仿宋_GB2312"/>
                <w:color w:val="0000FF"/>
              </w:rPr>
              <w:t>3、</w:t>
            </w:r>
            <w:r>
              <w:rPr>
                <w:rFonts w:ascii="仿宋_GB2312" w:hAnsi="仿宋_GB2312" w:cs="仿宋_GB2312" w:eastAsia="仿宋_GB2312"/>
                <w:color w:val="0000FF"/>
              </w:rPr>
              <w:t>运维服务时限</w:t>
            </w:r>
          </w:p>
          <w:p>
            <w:pPr>
              <w:pStyle w:val="null3"/>
              <w:ind w:firstLine="361"/>
              <w:jc w:val="both"/>
            </w:pPr>
            <w:r>
              <w:rPr>
                <w:rFonts w:ascii="仿宋_GB2312" w:hAnsi="仿宋_GB2312" w:cs="仿宋_GB2312" w:eastAsia="仿宋_GB2312"/>
                <w:color w:val="0000FF"/>
              </w:rPr>
              <w:t>2026年1月1日起</w:t>
            </w:r>
            <w:r>
              <w:rPr>
                <w:rFonts w:ascii="仿宋_GB2312" w:hAnsi="仿宋_GB2312" w:cs="仿宋_GB2312" w:eastAsia="仿宋_GB2312"/>
                <w:color w:val="0000FF"/>
              </w:rPr>
              <w:t>至</w:t>
            </w:r>
            <w:r>
              <w:rPr>
                <w:rFonts w:ascii="仿宋_GB2312" w:hAnsi="仿宋_GB2312" w:cs="仿宋_GB2312" w:eastAsia="仿宋_GB2312"/>
                <w:color w:val="0000FF"/>
              </w:rPr>
              <w:t>2026年12月31日。</w:t>
            </w:r>
          </w:p>
          <w:p>
            <w:pPr>
              <w:pStyle w:val="null3"/>
              <w:ind w:firstLine="361"/>
              <w:jc w:val="both"/>
            </w:pPr>
            <w:r>
              <w:rPr>
                <w:rFonts w:ascii="仿宋_GB2312" w:hAnsi="仿宋_GB2312" w:cs="仿宋_GB2312" w:eastAsia="仿宋_GB2312"/>
                <w:color w:val="0000FF"/>
              </w:rPr>
              <w:t>4、运维服务内容</w:t>
            </w:r>
          </w:p>
          <w:p>
            <w:pPr>
              <w:pStyle w:val="null3"/>
              <w:ind w:firstLine="361"/>
              <w:jc w:val="both"/>
            </w:pPr>
            <w:r>
              <w:rPr>
                <w:rFonts w:ascii="仿宋_GB2312" w:hAnsi="仿宋_GB2312" w:cs="仿宋_GB2312" w:eastAsia="仿宋_GB2312"/>
                <w:color w:val="0000FF"/>
              </w:rPr>
              <w:t>本次采购服务内容包含应急管理信息系统的基础服务、例行运维服务、应急响应服务及</w:t>
            </w:r>
            <w:r>
              <w:rPr>
                <w:rFonts w:ascii="仿宋_GB2312" w:hAnsi="仿宋_GB2312" w:cs="仿宋_GB2312" w:eastAsia="仿宋_GB2312"/>
                <w:color w:val="0000FF"/>
              </w:rPr>
              <w:t>其他</w:t>
            </w:r>
            <w:r>
              <w:rPr>
                <w:rFonts w:ascii="仿宋_GB2312" w:hAnsi="仿宋_GB2312" w:cs="仿宋_GB2312" w:eastAsia="仿宋_GB2312"/>
                <w:color w:val="0000FF"/>
              </w:rPr>
              <w:t>服务。其中，基础服务：服务提供商应提供设备档案维护、运维管理制度完善、机房管理等基础服务；例行运维服务：服务提供商应提供服务热线应答、日巡检、月巡检、重要设施设备定期保养、卫星应急通信平台演练、备品备件库维护、重要数据定期备份、信息安全管理等例行运维服务；应急响应服务：服务提供商应提供故障响应处理、视频会议保障、卫星应急通信平台任务保障、重要时期保障、应急预案制订及演练、业务系统维护及配合演示、新建信息化项目配合实施等应急响应服务；其他服务：服务提供商在服务期间，为厅机关提供运维服务管理平台、卫星通信链路租赁、小鱼易连视频会议服务、重要设备原厂维保、网络安全系统设备授权许可升级、已交付信息化项目接手运维、部信息化建设工作配合、系统优化评估、专业技术咨询等应急响应服务。</w:t>
            </w:r>
          </w:p>
          <w:p>
            <w:pPr>
              <w:pStyle w:val="null3"/>
              <w:ind w:firstLine="361"/>
              <w:jc w:val="both"/>
            </w:pPr>
            <w:r>
              <w:rPr>
                <w:rFonts w:ascii="仿宋_GB2312" w:hAnsi="仿宋_GB2312" w:cs="仿宋_GB2312" w:eastAsia="仿宋_GB2312"/>
                <w:color w:val="0000FF"/>
              </w:rPr>
              <w:t>5、</w:t>
            </w:r>
            <w:r>
              <w:rPr>
                <w:rFonts w:ascii="仿宋_GB2312" w:hAnsi="仿宋_GB2312" w:cs="仿宋_GB2312" w:eastAsia="仿宋_GB2312"/>
                <w:color w:val="0000FF"/>
              </w:rPr>
              <w:t>运维服务要求</w:t>
            </w:r>
          </w:p>
          <w:p>
            <w:pPr>
              <w:pStyle w:val="null3"/>
              <w:ind w:firstLine="361"/>
              <w:jc w:val="both"/>
            </w:pPr>
            <w:r>
              <w:rPr>
                <w:rFonts w:ascii="仿宋_GB2312" w:hAnsi="仿宋_GB2312" w:cs="仿宋_GB2312" w:eastAsia="仿宋_GB2312"/>
                <w:color w:val="0000FF"/>
              </w:rPr>
              <w:t>供应商配备</w:t>
            </w:r>
            <w:r>
              <w:rPr>
                <w:rFonts w:ascii="仿宋_GB2312" w:hAnsi="仿宋_GB2312" w:cs="仿宋_GB2312" w:eastAsia="仿宋_GB2312"/>
                <w:color w:val="0000FF"/>
              </w:rPr>
              <w:t>专业的技术团队常驻厅机关、</w:t>
            </w:r>
            <w:r>
              <w:rPr>
                <w:rFonts w:ascii="仿宋_GB2312" w:hAnsi="仿宋_GB2312" w:cs="仿宋_GB2312" w:eastAsia="仿宋_GB2312"/>
                <w:color w:val="0000FF"/>
              </w:rPr>
              <w:t>10个设区市和杨凌示范区以及所辖县区（含高新区、开发区）</w:t>
            </w:r>
            <w:r>
              <w:rPr>
                <w:rFonts w:ascii="仿宋_GB2312" w:hAnsi="仿宋_GB2312" w:cs="仿宋_GB2312" w:eastAsia="仿宋_GB2312"/>
                <w:color w:val="0000FF"/>
              </w:rPr>
              <w:t>现场进行运维，运维服务团队人员应为服务提供商的正式</w:t>
            </w:r>
            <w:r>
              <w:rPr>
                <w:rFonts w:ascii="仿宋_GB2312" w:hAnsi="仿宋_GB2312" w:cs="仿宋_GB2312" w:eastAsia="仿宋_GB2312"/>
                <w:color w:val="0000FF"/>
              </w:rPr>
              <w:t>员工，具备信息系统运维保障相关技能和一定工作经验，具有良好的沟通协调能力、解决问题能力、实操能力和学习能力。其中厅机关运维团队应包含网络安全类、主机存储类、音视频类、软件系统类、安全保密类、动力环境类等专业，技术人员要求不少于</w:t>
            </w:r>
            <w:r>
              <w:rPr>
                <w:rFonts w:ascii="仿宋_GB2312" w:hAnsi="仿宋_GB2312" w:cs="仿宋_GB2312" w:eastAsia="仿宋_GB2312"/>
                <w:color w:val="0000FF"/>
              </w:rPr>
              <w:t>20人；10个设区市和杨凌示范区以及所辖县区（含高新区、开发区）技术人员要求不少于279人。</w:t>
            </w:r>
          </w:p>
          <w:p>
            <w:pPr>
              <w:pStyle w:val="null3"/>
              <w:ind w:firstLine="361"/>
              <w:jc w:val="both"/>
            </w:pPr>
            <w:r>
              <w:rPr>
                <w:rFonts w:ascii="仿宋_GB2312" w:hAnsi="仿宋_GB2312" w:cs="仿宋_GB2312" w:eastAsia="仿宋_GB2312"/>
                <w:color w:val="0000FF"/>
              </w:rPr>
              <w:t>（</w:t>
            </w:r>
            <w:r>
              <w:rPr>
                <w:rFonts w:ascii="仿宋_GB2312" w:hAnsi="仿宋_GB2312" w:cs="仿宋_GB2312" w:eastAsia="仿宋_GB2312"/>
                <w:color w:val="0000FF"/>
              </w:rPr>
              <w:t>1）</w:t>
            </w:r>
            <w:r>
              <w:rPr>
                <w:rFonts w:ascii="仿宋_GB2312" w:hAnsi="仿宋_GB2312" w:cs="仿宋_GB2312" w:eastAsia="仿宋_GB2312"/>
                <w:color w:val="0000FF"/>
              </w:rPr>
              <w:t>供应商</w:t>
            </w:r>
            <w:r>
              <w:rPr>
                <w:rFonts w:ascii="仿宋_GB2312" w:hAnsi="仿宋_GB2312" w:cs="仿宋_GB2312" w:eastAsia="仿宋_GB2312"/>
                <w:color w:val="0000FF"/>
              </w:rPr>
              <w:t>技术人员常驻厅机关现场进行服务，采购</w:t>
            </w:r>
            <w:r>
              <w:rPr>
                <w:rFonts w:ascii="仿宋_GB2312" w:hAnsi="仿宋_GB2312" w:cs="仿宋_GB2312" w:eastAsia="仿宋_GB2312"/>
                <w:color w:val="0000FF"/>
              </w:rPr>
              <w:t>人</w:t>
            </w:r>
            <w:r>
              <w:rPr>
                <w:rFonts w:ascii="仿宋_GB2312" w:hAnsi="仿宋_GB2312" w:cs="仿宋_GB2312" w:eastAsia="仿宋_GB2312"/>
                <w:color w:val="0000FF"/>
              </w:rPr>
              <w:t>为运维团队提供办公场地和必要的办公设备，要求运维团队以用户为中心，厅机关保证白班在岗人员不低于</w:t>
            </w:r>
            <w:r>
              <w:rPr>
                <w:rFonts w:ascii="仿宋_GB2312" w:hAnsi="仿宋_GB2312" w:cs="仿宋_GB2312" w:eastAsia="仿宋_GB2312"/>
                <w:color w:val="0000FF"/>
              </w:rPr>
              <w:t>18人，夜班不低于2人，重要时间段夜班不低于3人。</w:t>
            </w:r>
          </w:p>
          <w:p>
            <w:pPr>
              <w:pStyle w:val="null3"/>
              <w:ind w:firstLine="361"/>
              <w:jc w:val="both"/>
            </w:pPr>
            <w:r>
              <w:rPr>
                <w:rFonts w:ascii="仿宋_GB2312" w:hAnsi="仿宋_GB2312" w:cs="仿宋_GB2312" w:eastAsia="仿宋_GB2312"/>
                <w:color w:val="0000FF"/>
              </w:rPr>
              <w:t>（</w:t>
            </w:r>
            <w:r>
              <w:rPr>
                <w:rFonts w:ascii="仿宋_GB2312" w:hAnsi="仿宋_GB2312" w:cs="仿宋_GB2312" w:eastAsia="仿宋_GB2312"/>
                <w:color w:val="0000FF"/>
              </w:rPr>
              <w:t>2）</w:t>
            </w:r>
            <w:r>
              <w:rPr>
                <w:rFonts w:ascii="仿宋_GB2312" w:hAnsi="仿宋_GB2312" w:cs="仿宋_GB2312" w:eastAsia="仿宋_GB2312"/>
                <w:color w:val="0000FF"/>
              </w:rPr>
              <w:t>供应商</w:t>
            </w:r>
            <w:r>
              <w:rPr>
                <w:rFonts w:ascii="仿宋_GB2312" w:hAnsi="仿宋_GB2312" w:cs="仿宋_GB2312" w:eastAsia="仿宋_GB2312"/>
                <w:color w:val="0000FF"/>
              </w:rPr>
              <w:t>为</w:t>
            </w:r>
            <w:r>
              <w:rPr>
                <w:rFonts w:ascii="仿宋_GB2312" w:hAnsi="仿宋_GB2312" w:cs="仿宋_GB2312" w:eastAsia="仿宋_GB2312"/>
                <w:color w:val="0000FF"/>
              </w:rPr>
              <w:t>10个设区市和杨凌示范区以及所辖县区派驻的运维人员应具备信息系统运维保障相关技能和一年以上运维工作经验，具有良好的沟通协调能力、解决问题能力、实操能力和学习能力。</w:t>
            </w:r>
          </w:p>
          <w:p>
            <w:pPr>
              <w:pStyle w:val="null3"/>
              <w:ind w:firstLine="361"/>
              <w:jc w:val="both"/>
            </w:pPr>
            <w:r>
              <w:rPr>
                <w:rFonts w:ascii="仿宋_GB2312" w:hAnsi="仿宋_GB2312" w:cs="仿宋_GB2312" w:eastAsia="仿宋_GB2312"/>
                <w:color w:val="0000FF"/>
              </w:rPr>
              <w:t>（</w:t>
            </w:r>
            <w:r>
              <w:rPr>
                <w:rFonts w:ascii="仿宋_GB2312" w:hAnsi="仿宋_GB2312" w:cs="仿宋_GB2312" w:eastAsia="仿宋_GB2312"/>
                <w:color w:val="0000FF"/>
              </w:rPr>
              <w:t>3）</w:t>
            </w:r>
            <w:r>
              <w:rPr>
                <w:rFonts w:ascii="仿宋_GB2312" w:hAnsi="仿宋_GB2312" w:cs="仿宋_GB2312" w:eastAsia="仿宋_GB2312"/>
                <w:color w:val="0000FF"/>
              </w:rPr>
              <w:t>供应商</w:t>
            </w:r>
            <w:r>
              <w:rPr>
                <w:rFonts w:ascii="仿宋_GB2312" w:hAnsi="仿宋_GB2312" w:cs="仿宋_GB2312" w:eastAsia="仿宋_GB2312"/>
                <w:color w:val="0000FF"/>
              </w:rPr>
              <w:t>与采购</w:t>
            </w:r>
            <w:r>
              <w:rPr>
                <w:rFonts w:ascii="仿宋_GB2312" w:hAnsi="仿宋_GB2312" w:cs="仿宋_GB2312" w:eastAsia="仿宋_GB2312"/>
                <w:color w:val="0000FF"/>
              </w:rPr>
              <w:t>人</w:t>
            </w:r>
            <w:r>
              <w:rPr>
                <w:rFonts w:ascii="仿宋_GB2312" w:hAnsi="仿宋_GB2312" w:cs="仿宋_GB2312" w:eastAsia="仿宋_GB2312"/>
                <w:color w:val="0000FF"/>
              </w:rPr>
              <w:t>签署保密协议，派驻技术人员严格按照涉密人员管理办法和制度开展工作。</w:t>
            </w:r>
          </w:p>
          <w:p>
            <w:pPr>
              <w:pStyle w:val="null3"/>
              <w:ind w:firstLine="361"/>
              <w:jc w:val="both"/>
            </w:pPr>
            <w:r>
              <w:rPr>
                <w:rFonts w:ascii="仿宋_GB2312" w:hAnsi="仿宋_GB2312" w:cs="仿宋_GB2312" w:eastAsia="仿宋_GB2312"/>
                <w:color w:val="0000FF"/>
              </w:rPr>
              <w:t>（</w:t>
            </w:r>
            <w:r>
              <w:rPr>
                <w:rFonts w:ascii="仿宋_GB2312" w:hAnsi="仿宋_GB2312" w:cs="仿宋_GB2312" w:eastAsia="仿宋_GB2312"/>
                <w:color w:val="0000FF"/>
              </w:rPr>
              <w:t>4）</w:t>
            </w:r>
            <w:r>
              <w:rPr>
                <w:rFonts w:ascii="仿宋_GB2312" w:hAnsi="仿宋_GB2312" w:cs="仿宋_GB2312" w:eastAsia="仿宋_GB2312"/>
                <w:color w:val="0000FF"/>
              </w:rPr>
              <w:t>供应商</w:t>
            </w:r>
            <w:r>
              <w:rPr>
                <w:rFonts w:ascii="仿宋_GB2312" w:hAnsi="仿宋_GB2312" w:cs="仿宋_GB2312" w:eastAsia="仿宋_GB2312"/>
                <w:color w:val="0000FF"/>
              </w:rPr>
              <w:t>对各服务项目制定规范的工作制度和操作流程，定期向采购单位提交维护服务记录及服务报告，确保整个服务工作规范、高效。</w:t>
            </w:r>
          </w:p>
          <w:p>
            <w:pPr>
              <w:pStyle w:val="null3"/>
              <w:ind w:firstLine="361"/>
              <w:jc w:val="both"/>
            </w:pPr>
            <w:r>
              <w:rPr>
                <w:rFonts w:ascii="仿宋_GB2312" w:hAnsi="仿宋_GB2312" w:cs="仿宋_GB2312" w:eastAsia="仿宋_GB2312"/>
                <w:color w:val="0000FF"/>
              </w:rPr>
              <w:t>（</w:t>
            </w:r>
            <w:r>
              <w:rPr>
                <w:rFonts w:ascii="仿宋_GB2312" w:hAnsi="仿宋_GB2312" w:cs="仿宋_GB2312" w:eastAsia="仿宋_GB2312"/>
                <w:color w:val="0000FF"/>
              </w:rPr>
              <w:t>5）对故障快速响应并及时消除，使系统保持良好的运行状态，对一些明显不满足使用需求的系统提出改进方案；</w:t>
            </w:r>
          </w:p>
          <w:p>
            <w:pPr>
              <w:pStyle w:val="null3"/>
              <w:ind w:firstLine="361"/>
              <w:jc w:val="both"/>
            </w:pPr>
            <w:r>
              <w:rPr>
                <w:rFonts w:ascii="仿宋_GB2312" w:hAnsi="仿宋_GB2312" w:cs="仿宋_GB2312" w:eastAsia="仿宋_GB2312"/>
                <w:color w:val="0000FF"/>
              </w:rPr>
              <w:t>（</w:t>
            </w:r>
            <w:r>
              <w:rPr>
                <w:rFonts w:ascii="仿宋_GB2312" w:hAnsi="仿宋_GB2312" w:cs="仿宋_GB2312" w:eastAsia="仿宋_GB2312"/>
                <w:color w:val="0000FF"/>
              </w:rPr>
              <w:t>6）加强对设备的检测、保养，管理相关网络设备的备品备件；对重要系统制定多种应急预案，避免重大责任事故；</w:t>
            </w:r>
          </w:p>
          <w:p>
            <w:pPr>
              <w:pStyle w:val="null3"/>
              <w:ind w:firstLine="361"/>
              <w:jc w:val="both"/>
            </w:pPr>
            <w:r>
              <w:rPr>
                <w:rFonts w:ascii="仿宋_GB2312" w:hAnsi="仿宋_GB2312" w:cs="仿宋_GB2312" w:eastAsia="仿宋_GB2312"/>
                <w:color w:val="0000FF"/>
              </w:rPr>
              <w:t>（</w:t>
            </w:r>
            <w:r>
              <w:rPr>
                <w:rFonts w:ascii="仿宋_GB2312" w:hAnsi="仿宋_GB2312" w:cs="仿宋_GB2312" w:eastAsia="仿宋_GB2312"/>
                <w:color w:val="0000FF"/>
              </w:rPr>
              <w:t>7）</w:t>
            </w:r>
            <w:r>
              <w:rPr>
                <w:rFonts w:ascii="仿宋_GB2312" w:hAnsi="仿宋_GB2312" w:cs="仿宋_GB2312" w:eastAsia="仿宋_GB2312"/>
                <w:color w:val="0000FF"/>
              </w:rPr>
              <w:t>供应商</w:t>
            </w:r>
            <w:r>
              <w:rPr>
                <w:rFonts w:ascii="仿宋_GB2312" w:hAnsi="仿宋_GB2312" w:cs="仿宋_GB2312" w:eastAsia="仿宋_GB2312"/>
                <w:color w:val="0000FF"/>
              </w:rPr>
              <w:t>需承诺针对厅机关单项设备提供维修服务，费用在</w:t>
            </w:r>
            <w:r>
              <w:rPr>
                <w:rFonts w:ascii="仿宋_GB2312" w:hAnsi="仿宋_GB2312" w:cs="仿宋_GB2312" w:eastAsia="仿宋_GB2312"/>
                <w:color w:val="0000FF"/>
              </w:rPr>
              <w:t>5000元以下的由供应商负责，并经采购方同意后实施。</w:t>
            </w:r>
          </w:p>
          <w:p>
            <w:pPr>
              <w:pStyle w:val="null3"/>
              <w:ind w:firstLine="361"/>
              <w:jc w:val="both"/>
            </w:pPr>
            <w:r>
              <w:rPr>
                <w:rFonts w:ascii="仿宋_GB2312" w:hAnsi="仿宋_GB2312" w:cs="仿宋_GB2312" w:eastAsia="仿宋_GB2312"/>
                <w:color w:val="0000FF"/>
              </w:rPr>
              <w:t>3.</w:t>
            </w:r>
            <w:r>
              <w:rPr>
                <w:rFonts w:ascii="仿宋_GB2312" w:hAnsi="仿宋_GB2312" w:cs="仿宋_GB2312" w:eastAsia="仿宋_GB2312"/>
                <w:color w:val="0000FF"/>
              </w:rPr>
              <w:t>3</w:t>
            </w:r>
            <w:r>
              <w:rPr>
                <w:rFonts w:ascii="仿宋_GB2312" w:hAnsi="仿宋_GB2312" w:cs="仿宋_GB2312" w:eastAsia="仿宋_GB2312"/>
                <w:color w:val="0000FF"/>
              </w:rPr>
              <w:t>保密要求</w:t>
            </w:r>
          </w:p>
          <w:p>
            <w:pPr>
              <w:pStyle w:val="null3"/>
              <w:ind w:firstLine="361"/>
              <w:jc w:val="both"/>
            </w:pPr>
            <w:r>
              <w:rPr>
                <w:rFonts w:ascii="仿宋_GB2312" w:hAnsi="仿宋_GB2312" w:cs="仿宋_GB2312" w:eastAsia="仿宋_GB2312"/>
                <w:color w:val="0000FF"/>
              </w:rPr>
              <w:t>供应商</w:t>
            </w:r>
            <w:r>
              <w:rPr>
                <w:rFonts w:ascii="仿宋_GB2312" w:hAnsi="仿宋_GB2312" w:cs="仿宋_GB2312" w:eastAsia="仿宋_GB2312"/>
                <w:color w:val="0000FF"/>
              </w:rPr>
              <w:t>应定期组织对运维人员进行安全保密教育，落实保密工作责任，确定保密工作范围，建立健全保密管理制度，定期检查安全保密工作。运维人员应与采购</w:t>
            </w:r>
            <w:r>
              <w:rPr>
                <w:rFonts w:ascii="仿宋_GB2312" w:hAnsi="仿宋_GB2312" w:cs="仿宋_GB2312" w:eastAsia="仿宋_GB2312"/>
                <w:color w:val="0000FF"/>
              </w:rPr>
              <w:t>人</w:t>
            </w:r>
            <w:r>
              <w:rPr>
                <w:rFonts w:ascii="仿宋_GB2312" w:hAnsi="仿宋_GB2312" w:cs="仿宋_GB2312" w:eastAsia="仿宋_GB2312"/>
                <w:color w:val="0000FF"/>
              </w:rPr>
              <w:t>签署保密协议，严格遵守安全保密制度，严格按照规定要求控制各项工作流程。</w:t>
            </w:r>
          </w:p>
          <w:p>
            <w:pPr>
              <w:pStyle w:val="null3"/>
              <w:ind w:firstLine="361"/>
              <w:jc w:val="both"/>
            </w:pPr>
            <w:r>
              <w:rPr>
                <w:rFonts w:ascii="仿宋_GB2312" w:hAnsi="仿宋_GB2312" w:cs="仿宋_GB2312" w:eastAsia="仿宋_GB2312"/>
                <w:color w:val="0000FF"/>
              </w:rPr>
              <w:t>3.</w:t>
            </w:r>
            <w:r>
              <w:rPr>
                <w:rFonts w:ascii="仿宋_GB2312" w:hAnsi="仿宋_GB2312" w:cs="仿宋_GB2312" w:eastAsia="仿宋_GB2312"/>
                <w:color w:val="0000FF"/>
              </w:rPr>
              <w:t>4</w:t>
            </w:r>
            <w:r>
              <w:rPr>
                <w:rFonts w:ascii="仿宋_GB2312" w:hAnsi="仿宋_GB2312" w:cs="仿宋_GB2312" w:eastAsia="仿宋_GB2312"/>
                <w:color w:val="0000FF"/>
              </w:rPr>
              <w:t>其他事项说明</w:t>
            </w:r>
          </w:p>
          <w:p>
            <w:pPr>
              <w:pStyle w:val="null3"/>
              <w:ind w:firstLine="361"/>
              <w:jc w:val="both"/>
            </w:pPr>
            <w:r>
              <w:rPr>
                <w:rFonts w:ascii="仿宋_GB2312" w:hAnsi="仿宋_GB2312" w:cs="仿宋_GB2312" w:eastAsia="仿宋_GB2312"/>
                <w:color w:val="0000FF"/>
              </w:rPr>
              <w:t>供应商</w:t>
            </w:r>
            <w:r>
              <w:rPr>
                <w:rFonts w:ascii="仿宋_GB2312" w:hAnsi="仿宋_GB2312" w:cs="仿宋_GB2312" w:eastAsia="仿宋_GB2312"/>
                <w:color w:val="0000FF"/>
              </w:rPr>
              <w:t>应明确承诺本项目合同签订后，向现运维服务商支付</w:t>
            </w:r>
            <w:r>
              <w:rPr>
                <w:rFonts w:ascii="仿宋_GB2312" w:hAnsi="仿宋_GB2312" w:cs="仿宋_GB2312" w:eastAsia="仿宋_GB2312"/>
                <w:color w:val="0000FF"/>
              </w:rPr>
              <w:t>2026年以来已提供的实际运维服务相关费用。</w:t>
            </w:r>
          </w:p>
          <w:p>
            <w:pPr>
              <w:pStyle w:val="null3"/>
              <w:jc w:val="both"/>
            </w:pPr>
            <w:r>
              <w:rPr>
                <w:rFonts w:ascii="仿宋_GB2312" w:hAnsi="仿宋_GB2312" w:cs="仿宋_GB2312" w:eastAsia="仿宋_GB2312"/>
                <w:sz w:val="21"/>
                <w:b/>
                <w:color w:val="0000FF"/>
              </w:rPr>
              <w:t>具体内容详见</w:t>
            </w:r>
            <w:r>
              <w:rPr>
                <w:rFonts w:ascii="仿宋_GB2312" w:hAnsi="仿宋_GB2312" w:cs="仿宋_GB2312" w:eastAsia="仿宋_GB2312"/>
                <w:sz w:val="21"/>
                <w:b/>
                <w:color w:val="0000FF"/>
              </w:rPr>
              <w:t>“第三章 招标项目技术、服务、商务及其他要求”3.</w:t>
            </w:r>
            <w:r>
              <w:rPr>
                <w:rFonts w:ascii="仿宋_GB2312" w:hAnsi="仿宋_GB2312" w:cs="仿宋_GB2312" w:eastAsia="仿宋_GB2312"/>
                <w:sz w:val="21"/>
                <w:b/>
                <w:color w:val="0000FF"/>
              </w:rPr>
              <w:t>2.</w:t>
            </w:r>
            <w:r>
              <w:rPr>
                <w:rFonts w:ascii="仿宋_GB2312" w:hAnsi="仿宋_GB2312" w:cs="仿宋_GB2312" w:eastAsia="仿宋_GB2312"/>
                <w:sz w:val="21"/>
                <w:b/>
                <w:color w:val="0000FF"/>
              </w:rPr>
              <w:t>5其他要求</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满足本项目服务需求的人员配置。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1.根据项目特性，投标人认为有必要投入有利于完成本项目服务的各类设施设备（包含但不限于专业设备、辅助设备、工具、软件等） 2.本项目如有配套工具或设备采购，最终归采购人所有和保管使用。在本项目验收完成后，由中标人配合采购人完成清单交付。</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详见采购文件附件“采购需求-2026年全省应急管理信息系统统一运维服务项目”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2026年1月1日起至2026年12月31日。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1.运维服务期结束后，供应商向采购人提出验收申请，采购人接到供应商验收申请后15日内组织验收（必要时可聘请相关专家或第三方检测机构协助），验收合格后出具使用验收合格证明。 2.验收合格后由采购人填写《政府采购项目验收单》，供应商持中标通知书、服务合同、正式发票、政府采购项目验收单，与采购人进行结算。 3.运维期满后由供应商出具运维服务质量报告，若存在服务质量问题，应按相应规定协商处理。 4.验收依据: 1)合同文本、合同附件、合同补充协议、招标文件、投标文件。 2)国内相应的标准、规范。 3)依据本合同及双方商定并签字盖章的其他附加验收。 4)运维服务质量考核表，见合同附件《运维服务质量考核办法》。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进度款，项目运维服务期结束且验收合格后，达到付款条件起7个工作日内，支付合同总金额的20.0%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1.依据《中华人民共和国民法典》、《中华人民共和国政府采购法》的相关条款和本合同约定。 2、乙方未全面履行合同义务或者发生违约，甲方有权终止合同，依法向乙方要求经济索赔，并报请招标监督管理机关进行相应的行政处罚。甲方违约的，应当赔偿给乙方造成的经济损失。 3、乙方违反保密义务造成甲方承受损失的，应承担国家有关法律法规要求乙方承担的责任。 4、乙方不得将其在本合同项下所享有的权利和/或承担的义务转让给任何第三方，否则甲方有权解除合同，乙方应当向甲方支付合同约定服务费用1%的违约金并赔偿甲方全部损失。 5、乙方运维服务部分或者全部不符合合同约定条件的，甲方有权指正，乙方应按要求改正，若改正后仍不能达到合同约定条件的，甲方有权解除合同，要求乙方承担合同总价款 3%的违约金以及因此给甲方造成的所有损失。 6.本合同在履行过程中发生的争议，由甲、乙双方当事人协商解决协商不成的按下列第(2)种方式解决: (1)向甲方所在地有管辖权的人民法院提起诉讼; (2)向西安市仲裁委员会按其仲裁规则申请仲裁。</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 （二）为顺利推进政府采购电子化交易平台应用工作，供应商需要在线提交所有通过电子化交易平台实施的政府采购项目的响应文件，同时，成交供应商领取成交通知书时，应线下提交纸质版响应文件，正本壹份、副本贰套、电子版壹套（U盘）至代理机构。 线上电子响应文件与纸质响应文件一致;若正本和副本不符，以正本为准。 （三）落实政府采购政策需满足的资格要求：依据《中华人民共和国政府采购法》和《中华人民共和国政府采购法实施条例》的有关规定，落实政府采购“优先购买节能环保产品、扶持小微企业、监狱企业、福利企业”等相关政策。1、《政府采购促进中小企业发展管理办法》（财库〔2020〕46号）、《陕西省财政厅关于进一步加大政府采购支持中小企业力度的通知》（陕财办采〔2022〕5号）、《陕西省财政厅关于落实政府采购支持中小企业政策有关事项的通知》（陕财办采〔2022〕10号）、《财政部关于进一步加大政府采购支持中小企业力度》的通知（财库〔2022〕19号）；2、《财政部司法部关于政府采购支持监狱企业发展有关问题的通知》（财库〔2014〕68号）；3、《国务院办公厅关于建立政府强制采购节能产品制度的通知》（国办发〔2007〕51号）；4、《三部门联合发布关于促进残疾人就业政府采购政策的通知》（财库〔2017〕141号）；5、《财政部发展改革委生态环境部市场监管总局关于调整优化节能产品、环境标志产品政府采购执行机制的通知》（财库〔2019〕9号）；6、关于印发环境标志产品政府采购品目清单的通知（财库〔2019〕18号）；7、《关于印发节能产品政府采购品目清单的通知》（财库〔2019〕19号）；8、《财政部、农业农村部、国家乡村振兴局关于运用政府采购政策支持乡村产业振兴的通知》（财库〔2021〕19号）；9、《陕西省中小企业政府采购信用融资办法》（陕财办采〔2018〕23号）、陕西省财政厅、中国人民银行西安分行关于深入推进政府采购信用融资业务的通知（陕财办采〔2023〕5号）；10、《关于扩大政府采购支持绿色建材促进建筑品质提升政策实施范围的通知》(财库〔2022]35号) ；11、《国务院办公厅关于在政府采购中实施本国产品标准及相关政策的通知》(国办发[2025]34号)；12、融资平台：根据《陕西省财政厅关于加快推进我省中小企业政府采购信用融资工作的通知》陕财办采〔2020〕15号文件精神，有融资需求的供应商可根据自身情况，在陕西省政府采购信用融资平台（含各市分平台）自主选择金融机构及其融资产品，凭政府采购中标（成交）通知书或政府采购合同向金融机构提出融资申请；13、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供应商资格要求.docx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供应商资格要求.docx 供应商认为应提交的其他相关证明材料.docx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法定代表人参加开标的，提供法定代表人身份证明书（附法定代表人身份证复印件）；法定代表人授权他人参加开标的，提供法定代表人授权委托书（附法定代表人身份证复印件及被授权人身份证复印件）。</w:t>
            </w:r>
          </w:p>
        </w:tc>
        <w:tc>
          <w:tcPr>
            <w:tcW w:type="dxa" w:w="1661"/>
          </w:tcPr>
          <w:p>
            <w:pPr>
              <w:pStyle w:val="null3"/>
            </w:pPr>
            <w:r>
              <w:rPr>
                <w:rFonts w:ascii="仿宋_GB2312" w:hAnsi="仿宋_GB2312" w:cs="仿宋_GB2312" w:eastAsia="仿宋_GB2312"/>
              </w:rPr>
              <w:t>供应商资格要求.docx 供应商认为应提交的其他相关证明材料.docx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①可提供2025年度（包含审计报告和审计报告中所涉及的财务报表和报表附注，审计报告须具有注册会计师行业统一监管平台（http：//acc.mof.gov.cn）赋予的验证码），②成立时间至提交响应文件截止时间不足一年的，可提供成立后任意时段完整的全套财务报表（应当包括资产负债表、利润表、现金流量表），③可提供截至响应文件提交截止日一年内银行出具的资信证明及供应商基本开户银行信息（以上三种形式的资料提供任何一种即可）。</w:t>
            </w:r>
          </w:p>
        </w:tc>
        <w:tc>
          <w:tcPr>
            <w:tcW w:type="dxa" w:w="1661"/>
          </w:tcPr>
          <w:p>
            <w:pPr>
              <w:pStyle w:val="null3"/>
            </w:pPr>
            <w:r>
              <w:rPr>
                <w:rFonts w:ascii="仿宋_GB2312" w:hAnsi="仿宋_GB2312" w:cs="仿宋_GB2312" w:eastAsia="仿宋_GB2312"/>
              </w:rPr>
              <w:t>供应商资格要求.docx 供应商认为应提交的其他相关证明材料.docx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提供投标人自2026年1月1日以来已缴纳任意时段的纳税凭据或完税证明（任意税种）；依法免税的应提供相关文件证明。</w:t>
            </w:r>
          </w:p>
        </w:tc>
        <w:tc>
          <w:tcPr>
            <w:tcW w:type="dxa" w:w="1661"/>
          </w:tcPr>
          <w:p>
            <w:pPr>
              <w:pStyle w:val="null3"/>
            </w:pPr>
            <w:r>
              <w:rPr>
                <w:rFonts w:ascii="仿宋_GB2312" w:hAnsi="仿宋_GB2312" w:cs="仿宋_GB2312" w:eastAsia="仿宋_GB2312"/>
              </w:rPr>
              <w:t>供应商资格要求.docx 供应商认为应提交的其他相关证明材料.docx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提供投标人自2026年1月1日以来已缴存的任意时段的社会保障资金缴存单据或社保机构开具的社会保险参保缴费情况证明；依法不需要缴纳社会保障资金的应提供相关文件证明。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供应商资格要求.docx 供应商认为应提交的其他相关证明材料.docx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供应商资格要求.docx 供应商认为应提交的其他相关证明材料.docx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近三年无重大违法书面声明</w:t>
            </w:r>
          </w:p>
        </w:tc>
        <w:tc>
          <w:tcPr>
            <w:tcW w:type="dxa" w:w="3322"/>
          </w:tcPr>
          <w:p>
            <w:pPr>
              <w:pStyle w:val="null3"/>
            </w:pPr>
            <w:r>
              <w:rPr>
                <w:rFonts w:ascii="仿宋_GB2312" w:hAnsi="仿宋_GB2312" w:cs="仿宋_GB2312" w:eastAsia="仿宋_GB2312"/>
              </w:rPr>
              <w:t>提供《近三年无重大违法书面声明》。</w:t>
            </w:r>
          </w:p>
        </w:tc>
        <w:tc>
          <w:tcPr>
            <w:tcW w:type="dxa" w:w="1661"/>
          </w:tcPr>
          <w:p>
            <w:pPr>
              <w:pStyle w:val="null3"/>
            </w:pPr>
            <w:r>
              <w:rPr>
                <w:rFonts w:ascii="仿宋_GB2312" w:hAnsi="仿宋_GB2312" w:cs="仿宋_GB2312" w:eastAsia="仿宋_GB2312"/>
              </w:rPr>
              <w:t>供应商资格要求.docx 供应商认为应提交的其他相关证明材料.docx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列入“信用中国”网站(http://www.creditchina.gov.cn)“失信被执行人（页面跳转至“中国执行信息公开网”http://zxgk.court.gov.cn/shixin/）、重大税收违法失信主体、中国政府采购网(www.ccgp.gov.cn)的政府采购严重违法失信行为记录名单；（以采购人或采购代理机构开标当天查询结果为准）。</w:t>
            </w:r>
          </w:p>
        </w:tc>
        <w:tc>
          <w:tcPr>
            <w:tcW w:type="dxa" w:w="1661"/>
          </w:tcPr>
          <w:p>
            <w:pPr>
              <w:pStyle w:val="null3"/>
            </w:pPr>
            <w:r>
              <w:rPr>
                <w:rFonts w:ascii="仿宋_GB2312" w:hAnsi="仿宋_GB2312" w:cs="仿宋_GB2312" w:eastAsia="仿宋_GB2312"/>
              </w:rPr>
              <w:t>供应商资格要求.docx 供应商认为应提交的其他相关证明材料.docx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提供直接控股和管理关系清单。若与其他供应商存在单位负责人为同一人或者存在直接控股、管理关系的，不得同时参加本采购项目开标，否则响应无效。</w:t>
            </w:r>
          </w:p>
        </w:tc>
        <w:tc>
          <w:tcPr>
            <w:tcW w:type="dxa" w:w="1661"/>
          </w:tcPr>
          <w:p>
            <w:pPr>
              <w:pStyle w:val="null3"/>
            </w:pPr>
            <w:r>
              <w:rPr>
                <w:rFonts w:ascii="仿宋_GB2312" w:hAnsi="仿宋_GB2312" w:cs="仿宋_GB2312" w:eastAsia="仿宋_GB2312"/>
              </w:rPr>
              <w:t>供应商资格要求.docx 供应商认为应提交的其他相关证明材料.docx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供应商资格要求.docx 供应商认为应提交的其他相关证明材料.docx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拟投入本项目的人员配置情况表.docx 开标一览表 中小企业声明函 商务、服务内容偏离表.docx 供应商认为应提交的其他相关证明材料.docx 分项报价表.docx 供应商资格要求.docx 投标函 残疾人福利性单位声明函 标的清单 投标文件封面 供应商近几年类似项目业绩证明材料.docx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报价是否超过招标文件中规定的预算金额或者最高限价</w:t>
            </w:r>
          </w:p>
        </w:tc>
        <w:tc>
          <w:tcPr>
            <w:tcW w:type="dxa" w:w="3322"/>
          </w:tcPr>
          <w:p>
            <w:pPr>
              <w:pStyle w:val="null3"/>
            </w:pPr>
            <w:r>
              <w:rPr>
                <w:rFonts w:ascii="仿宋_GB2312" w:hAnsi="仿宋_GB2312" w:cs="仿宋_GB2312" w:eastAsia="仿宋_GB2312"/>
              </w:rPr>
              <w:t>报价未超过招标文件中规定的预算金额 或者最高限价；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是否存在法律、法规和招标文件规定的其他无效情形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 其他无效情形；</w:t>
            </w:r>
          </w:p>
        </w:tc>
        <w:tc>
          <w:tcPr>
            <w:tcW w:type="dxa" w:w="1661"/>
          </w:tcPr>
          <w:p>
            <w:pPr>
              <w:pStyle w:val="null3"/>
            </w:pPr>
            <w:r>
              <w:rPr>
                <w:rFonts w:ascii="仿宋_GB2312" w:hAnsi="仿宋_GB2312" w:cs="仿宋_GB2312" w:eastAsia="仿宋_GB2312"/>
              </w:rPr>
              <w:t>拟投入本项目的人员配置情况表.docx 开标一览表 中小企业声明函 商务、服务内容偏离表.docx 供应商认为应提交的其他相关证明材料.docx 分项报价表.docx 供应商资格要求.docx 投标函 残疾人福利性单位声明函 标的清单 投标文件封面 供应商近几年类似项目业绩证明材料.docx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资格要求、符合性审查合格标准、商务要求各项条款及本文件规定的其他不允许偏离的条件，为实质性要求和条件，不满足的投标为无效投标</w:t>
            </w:r>
          </w:p>
        </w:tc>
        <w:tc>
          <w:tcPr>
            <w:tcW w:type="dxa" w:w="3322"/>
          </w:tcPr>
          <w:p>
            <w:pPr>
              <w:pStyle w:val="null3"/>
            </w:pPr>
            <w:r>
              <w:rPr>
                <w:rFonts w:ascii="仿宋_GB2312" w:hAnsi="仿宋_GB2312" w:cs="仿宋_GB2312" w:eastAsia="仿宋_GB2312"/>
              </w:rPr>
              <w:t>资格要求、符合性审查合格标准、商务要求各项条款及本文件规定的其他不允许偏离的条件，为实质性要求和条件，不满足的投标为无效投标；</w:t>
            </w:r>
          </w:p>
        </w:tc>
        <w:tc>
          <w:tcPr>
            <w:tcW w:type="dxa" w:w="1661"/>
          </w:tcPr>
          <w:p>
            <w:pPr>
              <w:pStyle w:val="null3"/>
            </w:pPr>
            <w:r>
              <w:rPr>
                <w:rFonts w:ascii="仿宋_GB2312" w:hAnsi="仿宋_GB2312" w:cs="仿宋_GB2312" w:eastAsia="仿宋_GB2312"/>
              </w:rPr>
              <w:t>拟投入本项目的人员配置情况表.docx 开标一览表 中小企业声明函 商务、服务内容偏离表.docx 供应商认为应提交的其他相关证明材料.docx 分项报价表.docx 供应商资格要求.docx 投标函 残疾人福利性单位声明函 标的清单 投标文件封面 供应商近几年类似项目业绩证明材料.docx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针对本项目制定的总体方案，包含①对本项目的总体认识；②本项目运维服务的整体思路、服务目标及计划安排；③针对本项目的现状痛点分析。 二、评审标准： 1.对本项目的总体认识： ①了解全省应急管理信息系统整体架构及开发环境； ②熟悉全省应急管理信息系统整体部署实施情况。 2.本项目运维服务的整体思路、服务目标、计划安排、现状痛点分析及应对措施： ①完整性：方案须全面，对评审内容中的各项要求有详细描述及说明； ②可实施性：方案科学合理，可操作性强； ③针对性：方案能紧扣本项目实际情况，满足本项目各项具体要求。 三、赋分标准（满分12分）： ①对本项目的总体认识：每满足一项评审标准得1.5分，满分3分； ②本项目运维服务的整体思路、服务目标及计划安排：每满足一项评审标准得1.5分，满分4.5分； ③针对本项目的现状痛点分析：每满足一项评审标准得1.5分，满分4.5分。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供应商认为应提交的其他相关证明材料.docx</w:t>
            </w:r>
          </w:p>
        </w:tc>
      </w:tr>
      <w:tr>
        <w:tc>
          <w:tcPr>
            <w:tcW w:type="dxa" w:w="831"/>
            <w:vMerge/>
          </w:tcPr>
          <w:p/>
        </w:tc>
        <w:tc>
          <w:tcPr>
            <w:tcW w:type="dxa" w:w="1661"/>
          </w:tcPr>
          <w:p>
            <w:pPr>
              <w:pStyle w:val="null3"/>
            </w:pPr>
            <w:r>
              <w:rPr>
                <w:rFonts w:ascii="仿宋_GB2312" w:hAnsi="仿宋_GB2312" w:cs="仿宋_GB2312" w:eastAsia="仿宋_GB2312"/>
              </w:rPr>
              <w:t>运维方案</w:t>
            </w:r>
          </w:p>
        </w:tc>
        <w:tc>
          <w:tcPr>
            <w:tcW w:type="dxa" w:w="2492"/>
          </w:tcPr>
          <w:p>
            <w:pPr>
              <w:pStyle w:val="null3"/>
            </w:pPr>
            <w:r>
              <w:rPr>
                <w:rFonts w:ascii="仿宋_GB2312" w:hAnsi="仿宋_GB2312" w:cs="仿宋_GB2312" w:eastAsia="仿宋_GB2312"/>
              </w:rPr>
              <w:t>一、评审内容： 针对本项目制定的运维方案，包含①省厅机关运维方案；②市县（区）运维方案；③应急响应方案；④新建系统接管方案。 二、评审标准： ①完整性：方案须全面，对第三章服务内容中的各项要求有详细描述及说明； ②可实施性：方案科学合理，可操作性强； ③针对性：方案能紧扣本项目实际情况，满足本项目各项具体要求。 三、赋分标准（满分24分）： ①省厅机关运维方案：每满足一项评审标准得2分，满分6分； ②市县（区）运维方案：每满足一项评审标准得2分，满分6分。 ③应急响应方案；每满足一项评审标准得2分，满分6分。 ④新建系统接管方案：每满足一项评审标准得2分，满分6分。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供应商认为应提交的其他相关证明材料.docx</w:t>
            </w:r>
          </w:p>
        </w:tc>
      </w:tr>
      <w:tr>
        <w:tc>
          <w:tcPr>
            <w:tcW w:type="dxa" w:w="831"/>
            <w:vMerge/>
          </w:tcPr>
          <w:p/>
        </w:tc>
        <w:tc>
          <w:tcPr>
            <w:tcW w:type="dxa" w:w="1661"/>
          </w:tcPr>
          <w:p>
            <w:pPr>
              <w:pStyle w:val="null3"/>
            </w:pPr>
            <w:r>
              <w:rPr>
                <w:rFonts w:ascii="仿宋_GB2312" w:hAnsi="仿宋_GB2312" w:cs="仿宋_GB2312" w:eastAsia="仿宋_GB2312"/>
              </w:rPr>
              <w:t>运维管理体系</w:t>
            </w:r>
          </w:p>
        </w:tc>
        <w:tc>
          <w:tcPr>
            <w:tcW w:type="dxa" w:w="2492"/>
          </w:tcPr>
          <w:p>
            <w:pPr>
              <w:pStyle w:val="null3"/>
            </w:pPr>
            <w:r>
              <w:rPr>
                <w:rFonts w:ascii="仿宋_GB2312" w:hAnsi="仿宋_GB2312" w:cs="仿宋_GB2312" w:eastAsia="仿宋_GB2312"/>
              </w:rPr>
              <w:t>一、评审内容： 针对本项目制定的运维管理体系，包含①运维管理制度；②服务质量保障体系；③全省统一运维体系建设建议。 二、评审标准： ①完整性：制度、体系及建设建议内容全面，对评审内容中的各项要求有详细描述及说明； ②可实施性：制度、体系及建设建议科学合理，可操作性强。 三、赋分标准（满分6分）： ①运维管理制度：每完全满足一个评审标准得1分，满分2分； ②服务质量保障体系：每完全满足一个评审标准得1分，满分2分； ③全省统一运维体系建设建议：每完全满足一个评审标准得1分，满分2分。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供应商认为应提交的其他相关证明材料.docx</w:t>
            </w:r>
          </w:p>
        </w:tc>
      </w:tr>
      <w:tr>
        <w:tc>
          <w:tcPr>
            <w:tcW w:type="dxa" w:w="831"/>
            <w:vMerge/>
          </w:tcPr>
          <w:p/>
        </w:tc>
        <w:tc>
          <w:tcPr>
            <w:tcW w:type="dxa" w:w="1661"/>
          </w:tcPr>
          <w:p>
            <w:pPr>
              <w:pStyle w:val="null3"/>
            </w:pPr>
            <w:r>
              <w:rPr>
                <w:rFonts w:ascii="仿宋_GB2312" w:hAnsi="仿宋_GB2312" w:cs="仿宋_GB2312" w:eastAsia="仿宋_GB2312"/>
              </w:rPr>
              <w:t>安全保密措施</w:t>
            </w:r>
          </w:p>
        </w:tc>
        <w:tc>
          <w:tcPr>
            <w:tcW w:type="dxa" w:w="2492"/>
          </w:tcPr>
          <w:p>
            <w:pPr>
              <w:pStyle w:val="null3"/>
            </w:pPr>
            <w:r>
              <w:rPr>
                <w:rFonts w:ascii="仿宋_GB2312" w:hAnsi="仿宋_GB2312" w:cs="仿宋_GB2312" w:eastAsia="仿宋_GB2312"/>
              </w:rPr>
              <w:t>一、评审内容： 针对本项目制定的安全保密措施，内容包括：①安全保密风险识别②安全保密风险应对措施。 二、评审标准： 1、完整性：方案及相关措施内容全面，对评审内容中的各项要求有详细描述及说明； 2、可实施性：方案及相关措施科学合理，可操作性强，实施步骤清晰、合理； 3、针对性：能够紧扣项目实际情况，专业性强、内容科学、合理。 三、赋分标准（满分6分）： ①安全保密项目风险识别：每完全满足一个评审标准得1分，满分3分； ②安全保密风险应对措施:每完全满足一个评审标准得1分，满分3分。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供应商认为应提交的其他相关证明材料.docx</w:t>
            </w:r>
          </w:p>
        </w:tc>
      </w:tr>
      <w:tr>
        <w:tc>
          <w:tcPr>
            <w:tcW w:type="dxa" w:w="831"/>
            <w:vMerge/>
          </w:tcPr>
          <w:p/>
        </w:tc>
        <w:tc>
          <w:tcPr>
            <w:tcW w:type="dxa" w:w="1661"/>
          </w:tcPr>
          <w:p>
            <w:pPr>
              <w:pStyle w:val="null3"/>
            </w:pPr>
            <w:r>
              <w:rPr>
                <w:rFonts w:ascii="仿宋_GB2312" w:hAnsi="仿宋_GB2312" w:cs="仿宋_GB2312" w:eastAsia="仿宋_GB2312"/>
              </w:rPr>
              <w:t>企业相关证书</w:t>
            </w:r>
          </w:p>
        </w:tc>
        <w:tc>
          <w:tcPr>
            <w:tcW w:type="dxa" w:w="2492"/>
          </w:tcPr>
          <w:p>
            <w:pPr>
              <w:pStyle w:val="null3"/>
            </w:pPr>
            <w:r>
              <w:rPr>
                <w:rFonts w:ascii="仿宋_GB2312" w:hAnsi="仿宋_GB2312" w:cs="仿宋_GB2312" w:eastAsia="仿宋_GB2312"/>
              </w:rPr>
              <w:t>1.具有ISO20000信息技术服务管理体系认证证书，得1分； 2.具有ISO27001信息安全管理认证证书，得1分； 3.具有CCRC信息系统安全运维服务资质认证二级及其以上证书，得1分； 4.具有信息安全服务资质-灾难恢复类二级及其以上证书，得1分； 5.具有 ISO22320应急预案管理体系认证证书得1分； 6.具有数据安全服务能力评定资格-数据安全评估二级及以上证书，得1分； 7.具备ITSS信息技术服务运行维护符合性证书。壹级得2分，贰级得1分，其他不得分。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供应商认为应提交的其他相关证明材料.docx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为保证运维服务质量，投标人针对本项目的驻场人员和远程技术支撑团队人员配备合理充足，满足本项目招标要求。团队成员具有相关资质对应得分情况如下： 1、省厅项目经理，本科及以上学历，具备信息系统项目管理师证书、CISP、高级工程师（信息相关专业），每提供1项得1分，最多得3分；具有5年以上大型信息化项目管理经验的，得1分，需提供项目合同等相关证明材料（材料需显示项目经理姓名），满分4分。未提供或资料不全不得分。 2、每个地市（10个地市及杨凌示范区）派驻一名现场项目经理，本科及以上学历，具备信息系统项目管理师或系统集成项目管理工程师，11人全部提供者得4分，提供5-10人（含10人，不含5人）得2分，其他不得分。 3、运维团队成员（除项目经理外）具备信息安全工程师、注册信息安全专业人员证书、CCIE或者HCIE、ITIL认证，每具有上述一项证书得1分，最多得12分，未提供不得分；1人同时具有多项证书只计算其中1项。 4、运维团队成员中具备中国民航总局中国航空器拥有者及驾驶员协会认证的民用无人驾驶航空器系统驾驶员合格证，提供1人得1分，最高得2分，未提供不得分； 注：以上人员应为投标人本单位在职人员，提供投标截止日期前近三个月任意一个月的社保缴纳证明，未提供不得分，相关证明材料复印件须加盖投标人公章列于投标文件中。</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拟投入本项目的人员配置情况表.docx</w:t>
            </w:r>
          </w:p>
          <w:p>
            <w:pPr>
              <w:pStyle w:val="null3"/>
            </w:pPr>
            <w:r>
              <w:rPr>
                <w:rFonts w:ascii="仿宋_GB2312" w:hAnsi="仿宋_GB2312" w:cs="仿宋_GB2312" w:eastAsia="仿宋_GB2312"/>
              </w:rPr>
              <w:t>供应商认为应提交的其他相关证明材料.docx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1、接受采购人对本项目服务的考核、监督及管理，定期调研采购人对服务质量的满意度并加以改进，确保服务工作的优质高效，得1分。无承诺不得分。 2、上岗人员固定，不得随意更换，若出现服务人员因事、病等不能工作的，及时调整其他服务人员补充，确保服务工作的正常进行，得1分。无承诺不得分。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供应商认为应提交的其他相关证明材料.docx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2022年1月1日至今的类似项目运维服务业绩，提供类似项目运维服务业绩，每提供1个计2分，最多计10分（复印件加盖投标人公章，以合同签订时间为准）。评审时以业绩证明文件的扫描件为计分依据，每出具一份业绩证明文件得2分，满分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供应商近几年类似项目业绩证明材料.docx</w:t>
            </w:r>
          </w:p>
          <w:p>
            <w:pPr>
              <w:pStyle w:val="null3"/>
            </w:pPr>
            <w:r>
              <w:rPr>
                <w:rFonts w:ascii="仿宋_GB2312" w:hAnsi="仿宋_GB2312" w:cs="仿宋_GB2312" w:eastAsia="仿宋_GB2312"/>
              </w:rPr>
              <w:t>供应商认为应提交的其他相关证明材料.docx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价格分x(评标基准价/投标报价)，价格分计算四舍五入，保留两位小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详见附件：商务、服务内容偏离表.docx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详见附件：拟投入本项目的人员配置情况表.docx</w:t>
      </w:r>
    </w:p>
    <w:p>
      <w:pPr>
        <w:pStyle w:val="null3"/>
        <w:ind w:firstLine="960"/>
      </w:pPr>
      <w:r>
        <w:rPr>
          <w:rFonts w:ascii="仿宋_GB2312" w:hAnsi="仿宋_GB2312" w:cs="仿宋_GB2312" w:eastAsia="仿宋_GB2312"/>
        </w:rPr>
        <w:t>详见附件：供应商近几年类似项目业绩证明材料.docx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详见附件：供应商认为应提交的其他相关证明材料.docx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详见附件：合同文件.docx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