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版本号：TWZB2026-09420260706001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数据机房采购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TWZB2026-094</w:t>
      </w:r>
      <w:r>
        <w:br/>
      </w:r>
      <w:r>
        <w:br/>
      </w:r>
      <w:r>
        <w:br/>
      </w:r>
    </w:p>
    <w:p>
      <w:pPr>
        <w:pStyle w:val="null3"/>
        <w:jc w:val="center"/>
        <w:outlineLvl w:val="2"/>
      </w:pPr>
      <w:r>
        <w:rPr>
          <w:rFonts w:ascii="仿宋_GB2312" w:hAnsi="仿宋_GB2312" w:cs="仿宋_GB2312" w:eastAsia="仿宋_GB2312"/>
          <w:sz w:val="28"/>
          <w:b/>
        </w:rPr>
        <w:t>铜川市印台区人民法院</w:t>
      </w:r>
    </w:p>
    <w:p>
      <w:pPr>
        <w:pStyle w:val="null3"/>
        <w:jc w:val="center"/>
        <w:outlineLvl w:val="2"/>
      </w:pPr>
      <w:r>
        <w:rPr>
          <w:rFonts w:ascii="仿宋_GB2312" w:hAnsi="仿宋_GB2312" w:cs="仿宋_GB2312" w:eastAsia="仿宋_GB2312"/>
          <w:sz w:val="28"/>
          <w:b/>
        </w:rPr>
        <w:t>陕西天沃工程项目管理有限公司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陕西天沃工程项目管理有限公司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铜川市印台区人民法院</w:t>
      </w:r>
      <w:r>
        <w:rPr>
          <w:rFonts w:ascii="仿宋_GB2312" w:hAnsi="仿宋_GB2312" w:cs="仿宋_GB2312" w:eastAsia="仿宋_GB2312"/>
        </w:rPr>
        <w:t>委托，拟对</w:t>
      </w:r>
      <w:r>
        <w:rPr>
          <w:rFonts w:ascii="仿宋_GB2312" w:hAnsi="仿宋_GB2312" w:cs="仿宋_GB2312" w:eastAsia="仿宋_GB2312"/>
        </w:rPr>
        <w:t>数据机房采购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TWZB2026-094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数据机房采购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数据机房采购，具体详见招标文件。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采购包1（数据机房采购）：属于专门面向中小企业采购。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委托代理人授权书或法定代表人（主要负责人）身份证明：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3、说明及承诺：具备履行合同所必须的设备和专业技术能力的说明及承诺；</w:t>
      </w:r>
    </w:p>
    <w:p>
      <w:pPr>
        <w:pStyle w:val="null3"/>
      </w:pPr>
      <w:r>
        <w:rPr>
          <w:rFonts w:ascii="仿宋_GB2312" w:hAnsi="仿宋_GB2312" w:cs="仿宋_GB2312" w:eastAsia="仿宋_GB2312"/>
        </w:rPr>
        <w:t>4、没有重大违法记录的声明：供应商在近三年经营活动中没有重大违法记录的声明；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2025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6、税收缴纳证明：税收缴纳证明：供应商提供已缴纳的2026年1月至今至少一个月的纳税证明或完税证明（任意税种）；依法免税的单位应提供相关文件证明；供应商为零申报企业提供证明材料；</w:t>
      </w:r>
    </w:p>
    <w:p>
      <w:pPr>
        <w:pStyle w:val="null3"/>
      </w:pPr>
      <w:r>
        <w:rPr>
          <w:rFonts w:ascii="仿宋_GB2312" w:hAnsi="仿宋_GB2312" w:cs="仿宋_GB2312" w:eastAsia="仿宋_GB2312"/>
        </w:rPr>
        <w:t>7、社会保障资金缴纳证明：社会保障资金缴纳证明：供应商提供已缴存的2026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中国”及中国政府采购网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9、非联合体承诺书：本项目不接受联合体投标（提供非联合体承诺书）；</w:t>
      </w:r>
    </w:p>
    <w:p>
      <w:pPr>
        <w:pStyle w:val="null3"/>
      </w:pPr>
      <w:r>
        <w:rPr>
          <w:rFonts w:ascii="仿宋_GB2312" w:hAnsi="仿宋_GB2312" w:cs="仿宋_GB2312" w:eastAsia="仿宋_GB2312"/>
        </w:rPr>
        <w:t>10、企业关系关联承诺书：单位负责人为同一人或者存在控股、管理关系的不同单位不得同时投标（提供供应商企业关系关联承诺书）；</w:t>
      </w:r>
    </w:p>
    <w:p>
      <w:pPr>
        <w:pStyle w:val="null3"/>
      </w:pPr>
      <w:r>
        <w:rPr>
          <w:rFonts w:ascii="仿宋_GB2312" w:hAnsi="仿宋_GB2312" w:cs="仿宋_GB2312" w:eastAsia="仿宋_GB2312"/>
        </w:rPr>
        <w:t>11、中小企业声明函：本项目专门面向中小企业采购，非中小企业单位（监狱企业、残疾人福利单位除外）不得参与；（提供中小企业声明函）。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铜川市印台区同官路教科体局斜对面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0919-4564646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陕西天沃工程项目管理有限公司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西安市经济开发区凤城十一路与文景路十字西北角文景广场C座1202室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029-68539602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颁发的《招标代理服务收费管理暂行办法》（计价格〔2002〕1980号）、国家发展和改革委员会办公厅颁发的《关于招标代理服务收费有关问题的通知》（发改办价格〔2003〕857号）的有关规定执行。 2、支付方式：中标供应商应在领取通知书的同时，支付本项目代理服务费。 收款账户如下： 户名：陕西天沃工程项目管理有限公司 账号：6105 0177 0045 0000 0371 开户行：中国建设银行股份有限公司西安凤城十二路支行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铜川市印台区人民法院</w:t>
      </w:r>
      <w:r>
        <w:rPr>
          <w:rFonts w:ascii="仿宋_GB2312" w:hAnsi="仿宋_GB2312" w:cs="仿宋_GB2312" w:eastAsia="仿宋_GB2312"/>
        </w:rPr>
        <w:t>和</w:t>
      </w:r>
      <w:r>
        <w:rPr>
          <w:rFonts w:ascii="仿宋_GB2312" w:hAnsi="仿宋_GB2312" w:cs="仿宋_GB2312" w:eastAsia="仿宋_GB2312"/>
        </w:rPr>
        <w:t>陕西天沃工程项目管理有限公司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陕西天沃工程项目管理有限公司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陕西天沃工程项目管理有限公司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联系人：蒋工</w:t>
      </w:r>
    </w:p>
    <w:p>
      <w:pPr>
        <w:pStyle w:val="null3"/>
      </w:pPr>
      <w:r>
        <w:rPr>
          <w:rFonts w:ascii="仿宋_GB2312" w:hAnsi="仿宋_GB2312" w:cs="仿宋_GB2312" w:eastAsia="仿宋_GB2312"/>
        </w:rPr>
        <w:t>联系电话：029-68539602</w:t>
      </w:r>
    </w:p>
    <w:p>
      <w:pPr>
        <w:pStyle w:val="null3"/>
      </w:pPr>
      <w:r>
        <w:rPr>
          <w:rFonts w:ascii="仿宋_GB2312" w:hAnsi="仿宋_GB2312" w:cs="仿宋_GB2312" w:eastAsia="仿宋_GB2312"/>
        </w:rPr>
        <w:t>地址：西安市经济开发区凤城十一路与文景路十字西北角文景广场C座1202室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数据机房采购，具体详见招标文件。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927,000.00</w:t>
      </w:r>
    </w:p>
    <w:p>
      <w:pPr>
        <w:pStyle w:val="null3"/>
      </w:pPr>
      <w:r>
        <w:rPr>
          <w:rFonts w:ascii="仿宋_GB2312" w:hAnsi="仿宋_GB2312" w:cs="仿宋_GB2312" w:eastAsia="仿宋_GB2312"/>
        </w:rPr>
        <w:t>采购包最高限价（元）: 927,000.00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数据机房采购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标的名称：数据机房采购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
              <w:gridCol w:w="275"/>
              <w:gridCol w:w="2058"/>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序号</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产品名称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b/>
                      <w:color w:val="000000"/>
                    </w:rPr>
                    <w:t>规格参数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防火墙</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≥16*千兆电接口，≥8*千兆光接口，≥4*万兆光接口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网络层吞吐量</w:t>
                  </w:r>
                  <w:r>
                    <w:rPr>
                      <w:rFonts w:ascii="仿宋_GB2312" w:hAnsi="仿宋_GB2312" w:cs="仿宋_GB2312" w:eastAsia="仿宋_GB2312"/>
                      <w:sz w:val="20"/>
                      <w:color w:val="000000"/>
                    </w:rPr>
                    <w:t>≥10G,应用层吞吐量≥3G,最大并发连接数≥250万,新建连接数≥3万，含3年原厂质保及系统升级服务。</w:t>
                  </w:r>
                  <w:r>
                    <w:br/>
                  </w:r>
                  <w:r>
                    <w:rPr>
                      <w:rFonts w:ascii="仿宋_GB2312" w:hAnsi="仿宋_GB2312" w:cs="仿宋_GB2312" w:eastAsia="仿宋_GB2312"/>
                      <w:sz w:val="20"/>
                      <w:color w:val="000000"/>
                    </w:rPr>
                    <w:t>支持路由模式、透明（网桥）模式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DNAT、SNAT模式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支持基于</w:t>
                  </w:r>
                  <w:r>
                    <w:rPr>
                      <w:rFonts w:ascii="仿宋_GB2312" w:hAnsi="仿宋_GB2312" w:cs="仿宋_GB2312" w:eastAsia="仿宋_GB2312"/>
                      <w:sz w:val="20"/>
                      <w:color w:val="000000"/>
                    </w:rPr>
                    <w:t>、</w:t>
                  </w:r>
                  <w:r>
                    <w:rPr>
                      <w:rFonts w:ascii="仿宋_GB2312" w:hAnsi="仿宋_GB2312" w:cs="仿宋_GB2312" w:eastAsia="仿宋_GB2312"/>
                      <w:sz w:val="20"/>
                      <w:color w:val="000000"/>
                    </w:rPr>
                    <w:t>应用层协议、五元组</w:t>
                  </w:r>
                  <w:r>
                    <w:rPr>
                      <w:rFonts w:ascii="仿宋_GB2312" w:hAnsi="仿宋_GB2312" w:cs="仿宋_GB2312" w:eastAsia="仿宋_GB2312"/>
                      <w:sz w:val="20"/>
                      <w:color w:val="000000"/>
                    </w:rPr>
                    <w:t>进行</w:t>
                  </w:r>
                  <w:r>
                    <w:rPr>
                      <w:rFonts w:ascii="仿宋_GB2312" w:hAnsi="仿宋_GB2312" w:cs="仿宋_GB2312" w:eastAsia="仿宋_GB2312"/>
                      <w:sz w:val="20"/>
                      <w:color w:val="000000"/>
                    </w:rPr>
                    <w:t>安全策略配置。</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防火墙</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≥16*千兆电接口，≥8*千兆光接口，≥4*万兆光接口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网络层吞吐量</w:t>
                  </w:r>
                  <w:r>
                    <w:rPr>
                      <w:rFonts w:ascii="仿宋_GB2312" w:hAnsi="仿宋_GB2312" w:cs="仿宋_GB2312" w:eastAsia="仿宋_GB2312"/>
                      <w:sz w:val="20"/>
                      <w:color w:val="000000"/>
                    </w:rPr>
                    <w:t>≥10G,应用层吞吐量≥3G,最大并发连接数≥250万,新建连接数≥3万，配置入侵防护/病毒防护功能，含3年原厂质保及系统升级服务。</w:t>
                  </w:r>
                  <w:r>
                    <w:br/>
                  </w:r>
                  <w:r>
                    <w:rPr>
                      <w:rFonts w:ascii="仿宋_GB2312" w:hAnsi="仿宋_GB2312" w:cs="仿宋_GB2312" w:eastAsia="仿宋_GB2312"/>
                      <w:sz w:val="20"/>
                      <w:color w:val="000000"/>
                    </w:rPr>
                    <w:t>支持路由模式、透明（网桥）模式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DNAT、SNAT模式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支持基于</w:t>
                  </w:r>
                  <w:r>
                    <w:rPr>
                      <w:rFonts w:ascii="仿宋_GB2312" w:hAnsi="仿宋_GB2312" w:cs="仿宋_GB2312" w:eastAsia="仿宋_GB2312"/>
                      <w:sz w:val="20"/>
                      <w:color w:val="000000"/>
                    </w:rPr>
                    <w:t>、</w:t>
                  </w:r>
                  <w:r>
                    <w:rPr>
                      <w:rFonts w:ascii="仿宋_GB2312" w:hAnsi="仿宋_GB2312" w:cs="仿宋_GB2312" w:eastAsia="仿宋_GB2312"/>
                      <w:sz w:val="20"/>
                      <w:color w:val="000000"/>
                    </w:rPr>
                    <w:t>应用层协议、五元组</w:t>
                  </w:r>
                  <w:r>
                    <w:rPr>
                      <w:rFonts w:ascii="仿宋_GB2312" w:hAnsi="仿宋_GB2312" w:cs="仿宋_GB2312" w:eastAsia="仿宋_GB2312"/>
                      <w:sz w:val="20"/>
                      <w:color w:val="000000"/>
                    </w:rPr>
                    <w:t>进行</w:t>
                  </w:r>
                  <w:r>
                    <w:rPr>
                      <w:rFonts w:ascii="仿宋_GB2312" w:hAnsi="仿宋_GB2312" w:cs="仿宋_GB2312" w:eastAsia="仿宋_GB2312"/>
                      <w:sz w:val="20"/>
                      <w:color w:val="000000"/>
                    </w:rPr>
                    <w:t>安全策略配置。</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入侵防护系统</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CPU和国产化操作系统，冗余电源，≥6*千兆电口</w:t>
                  </w:r>
                  <w:r>
                    <w:rPr>
                      <w:rFonts w:ascii="仿宋_GB2312" w:hAnsi="仿宋_GB2312" w:cs="仿宋_GB2312" w:eastAsia="仿宋_GB2312"/>
                      <w:sz w:val="20"/>
                      <w:color w:val="000000"/>
                    </w:rPr>
                    <w:t>（</w:t>
                  </w:r>
                  <w:r>
                    <w:rPr>
                      <w:rFonts w:ascii="仿宋_GB2312" w:hAnsi="仿宋_GB2312" w:cs="仿宋_GB2312" w:eastAsia="仿宋_GB2312"/>
                      <w:sz w:val="20"/>
                      <w:color w:val="000000"/>
                    </w:rPr>
                    <w:t>1路硬件bypass</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≥4*千兆光口，应用层吞吐量≥2G，网络层吞吐量≥10G，含3年原厂质保及系统、特征库升级服务。</w:t>
                  </w:r>
                  <w:r>
                    <w:br/>
                  </w:r>
                  <w:r>
                    <w:rPr>
                      <w:rFonts w:ascii="仿宋_GB2312" w:hAnsi="仿宋_GB2312" w:cs="仿宋_GB2312" w:eastAsia="仿宋_GB2312"/>
                      <w:sz w:val="20"/>
                      <w:color w:val="000000"/>
                    </w:rPr>
                    <w:t>系统内置攻击</w:t>
                  </w:r>
                  <w:r>
                    <w:rPr>
                      <w:rFonts w:ascii="仿宋_GB2312" w:hAnsi="仿宋_GB2312" w:cs="仿宋_GB2312" w:eastAsia="仿宋_GB2312"/>
                      <w:sz w:val="20"/>
                      <w:color w:val="000000"/>
                    </w:rPr>
                    <w:t>防护策略</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能够有效抵御</w:t>
                  </w:r>
                  <w:r>
                    <w:rPr>
                      <w:rFonts w:ascii="仿宋_GB2312" w:hAnsi="仿宋_GB2312" w:cs="仿宋_GB2312" w:eastAsia="仿宋_GB2312"/>
                      <w:sz w:val="20"/>
                      <w:color w:val="000000"/>
                    </w:rPr>
                    <w:t>SQL注入、XSS注入、webshell等多种常见的应用层安全威胁</w:t>
                  </w:r>
                </w:p>
                <w:p>
                  <w:pPr>
                    <w:pStyle w:val="null3"/>
                    <w:ind w:firstLine="200"/>
                    <w:jc w:val="left"/>
                  </w:pPr>
                  <w:r>
                    <w:rPr>
                      <w:rFonts w:ascii="仿宋_GB2312" w:hAnsi="仿宋_GB2312" w:cs="仿宋_GB2312" w:eastAsia="仿宋_GB2312"/>
                      <w:sz w:val="20"/>
                      <w:color w:val="000000"/>
                    </w:rPr>
                    <w:t>支持访问控制策略，可基于</w:t>
                  </w:r>
                  <w:r>
                    <w:rPr>
                      <w:rFonts w:ascii="仿宋_GB2312" w:hAnsi="仿宋_GB2312" w:cs="仿宋_GB2312" w:eastAsia="仿宋_GB2312"/>
                      <w:sz w:val="20"/>
                      <w:color w:val="000000"/>
                    </w:rPr>
                    <w:t>IP地址、端口、协议、动作进行访问策略配置</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上网行为管理</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CPU和国产化操作系统，冗余电源，≥10个千兆电口，网络层吞吐量≥6G，应用层吞吐量≥3G，含3年原厂质保及系统、特征库升级服务。</w:t>
                  </w:r>
                  <w:r>
                    <w:br/>
                  </w:r>
                  <w:r>
                    <w:rPr>
                      <w:rFonts w:ascii="仿宋_GB2312" w:hAnsi="仿宋_GB2312" w:cs="仿宋_GB2312" w:eastAsia="仿宋_GB2312"/>
                      <w:sz w:val="20"/>
                      <w:color w:val="000000"/>
                    </w:rPr>
                    <w:t>支持分别部署透明模式、旁路模式</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支持对上网行为进行审计，若为透明模式，可对风险行为进行阻断</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日志审计</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CPU和国产化操作系统，≥6*千兆GE电口，</w:t>
                  </w:r>
                  <w:r>
                    <w:rPr>
                      <w:rFonts w:ascii="仿宋_GB2312" w:hAnsi="仿宋_GB2312" w:cs="仿宋_GB2312" w:eastAsia="仿宋_GB2312"/>
                      <w:sz w:val="20"/>
                      <w:color w:val="000000"/>
                    </w:rPr>
                    <w:t>硬盘容量</w:t>
                  </w:r>
                  <w:r>
                    <w:rPr>
                      <w:rFonts w:ascii="仿宋_GB2312" w:hAnsi="仿宋_GB2312" w:cs="仿宋_GB2312" w:eastAsia="仿宋_GB2312"/>
                      <w:sz w:val="20"/>
                      <w:color w:val="000000"/>
                    </w:rPr>
                    <w:t>≥4TB，</w:t>
                  </w:r>
                  <w:r>
                    <w:rPr>
                      <w:rFonts w:ascii="仿宋_GB2312" w:hAnsi="仿宋_GB2312" w:cs="仿宋_GB2312" w:eastAsia="仿宋_GB2312"/>
                      <w:sz w:val="20"/>
                      <w:color w:val="000000"/>
                    </w:rPr>
                    <w:t>授权接入不少于</w:t>
                  </w:r>
                  <w:r>
                    <w:rPr>
                      <w:rFonts w:ascii="仿宋_GB2312" w:hAnsi="仿宋_GB2312" w:cs="仿宋_GB2312" w:eastAsia="仿宋_GB2312"/>
                      <w:sz w:val="20"/>
                      <w:color w:val="000000"/>
                    </w:rPr>
                    <w:t>200个日志源，日志处理能力≥2000eps，含3年原厂质保及系统升级服务。</w:t>
                  </w:r>
                  <w:r>
                    <w:br/>
                  </w:r>
                  <w:r>
                    <w:rPr>
                      <w:rFonts w:ascii="仿宋_GB2312" w:hAnsi="仿宋_GB2312" w:cs="仿宋_GB2312" w:eastAsia="仿宋_GB2312"/>
                      <w:sz w:val="20"/>
                      <w:color w:val="000000"/>
                    </w:rPr>
                    <w:t>系统支持的数据采集方式包括但不限于</w:t>
                  </w:r>
                  <w:r>
                    <w:rPr>
                      <w:rFonts w:ascii="仿宋_GB2312" w:hAnsi="仿宋_GB2312" w:cs="仿宋_GB2312" w:eastAsia="仿宋_GB2312"/>
                      <w:sz w:val="20"/>
                      <w:color w:val="000000"/>
                    </w:rPr>
                    <w:t>SYSLOG、RSYSLOG、SNMP Trap、FTP、KAFKA等方式采集日志。</w:t>
                  </w:r>
                </w:p>
                <w:p>
                  <w:pPr>
                    <w:pStyle w:val="null3"/>
                    <w:ind w:firstLine="200"/>
                    <w:jc w:val="left"/>
                  </w:pPr>
                  <w:r>
                    <w:rPr>
                      <w:rFonts w:ascii="仿宋_GB2312" w:hAnsi="仿宋_GB2312" w:cs="仿宋_GB2312" w:eastAsia="仿宋_GB2312"/>
                      <w:sz w:val="20"/>
                      <w:color w:val="000000"/>
                    </w:rPr>
                    <w:t>支持对采集的日志进行深度安全分析。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运维审计</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CPU和国产化操作系统，冗余电源，≥10个千兆电口，授权管理不少于200台设备，字符并发会话数≥800，图形并发会话数≥500，含3年原厂质保及系统升级服务。</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用户登录堡垒机支持多种认证方式</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Oracle、MSSQL、MySQL、PostgreSQL、DB2、MongoDB等数据库协议代理</w:t>
                  </w:r>
                </w:p>
                <w:p>
                  <w:pPr>
                    <w:pStyle w:val="null3"/>
                    <w:ind w:firstLine="200"/>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角色和</w:t>
                  </w:r>
                  <w:r>
                    <w:rPr>
                      <w:rFonts w:ascii="仿宋_GB2312" w:hAnsi="仿宋_GB2312" w:cs="仿宋_GB2312" w:eastAsia="仿宋_GB2312"/>
                      <w:sz w:val="20"/>
                      <w:color w:val="000000"/>
                    </w:rPr>
                    <w:t>资源进行</w:t>
                  </w:r>
                  <w:r>
                    <w:rPr>
                      <w:rFonts w:ascii="仿宋_GB2312" w:hAnsi="仿宋_GB2312" w:cs="仿宋_GB2312" w:eastAsia="仿宋_GB2312"/>
                      <w:sz w:val="20"/>
                      <w:color w:val="000000"/>
                    </w:rPr>
                    <w:t>静态授权，通过不同授权模型满足运维管控要求。</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RDP</w:t>
                  </w:r>
                  <w:r>
                    <w:rPr>
                      <w:rFonts w:ascii="仿宋_GB2312" w:hAnsi="仿宋_GB2312" w:cs="仿宋_GB2312" w:eastAsia="仿宋_GB2312"/>
                      <w:sz w:val="20"/>
                      <w:color w:val="000000"/>
                    </w:rPr>
                    <w:t>、</w:t>
                  </w:r>
                  <w:r>
                    <w:rPr>
                      <w:rFonts w:ascii="仿宋_GB2312" w:hAnsi="仿宋_GB2312" w:cs="仿宋_GB2312" w:eastAsia="仿宋_GB2312"/>
                      <w:sz w:val="20"/>
                      <w:color w:val="000000"/>
                    </w:rPr>
                    <w:t>NC、SSH、TELNET、SFTP、FTP协议的运维</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漏洞扫描</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CPU和国产化操作系统，≥6*千兆电口，最大并发主机数≥50，最大并发任务数≥10，配置系统漏洞扫描、弱口令扫描、web漏洞扫描</w:t>
                  </w:r>
                  <w:r>
                    <w:rPr>
                      <w:rFonts w:ascii="仿宋_GB2312" w:hAnsi="仿宋_GB2312" w:cs="仿宋_GB2312" w:eastAsia="仿宋_GB2312"/>
                      <w:sz w:val="20"/>
                      <w:color w:val="000000"/>
                    </w:rPr>
                    <w:t>、</w:t>
                  </w:r>
                  <w:r>
                    <w:rPr>
                      <w:rFonts w:ascii="仿宋_GB2312" w:hAnsi="仿宋_GB2312" w:cs="仿宋_GB2312" w:eastAsia="仿宋_GB2312"/>
                      <w:sz w:val="20"/>
                      <w:color w:val="000000"/>
                    </w:rPr>
                    <w:t>配置不少于</w:t>
                  </w:r>
                  <w:r>
                    <w:rPr>
                      <w:rFonts w:ascii="仿宋_GB2312" w:hAnsi="仿宋_GB2312" w:cs="仿宋_GB2312" w:eastAsia="仿宋_GB2312"/>
                      <w:sz w:val="20"/>
                      <w:color w:val="000000"/>
                    </w:rPr>
                    <w:t>200个可扫描IP</w:t>
                  </w:r>
                  <w:r>
                    <w:rPr>
                      <w:rFonts w:ascii="仿宋_GB2312" w:hAnsi="仿宋_GB2312" w:cs="仿宋_GB2312" w:eastAsia="仿宋_GB2312"/>
                      <w:sz w:val="20"/>
                      <w:color w:val="000000"/>
                    </w:rPr>
                    <w:t>，</w:t>
                  </w:r>
                  <w:r>
                    <w:rPr>
                      <w:rFonts w:ascii="仿宋_GB2312" w:hAnsi="仿宋_GB2312" w:cs="仿宋_GB2312" w:eastAsia="仿宋_GB2312"/>
                      <w:sz w:val="20"/>
                      <w:color w:val="000000"/>
                    </w:rPr>
                    <w:t>含</w:t>
                  </w:r>
                  <w:r>
                    <w:rPr>
                      <w:rFonts w:ascii="仿宋_GB2312" w:hAnsi="仿宋_GB2312" w:cs="仿宋_GB2312" w:eastAsia="仿宋_GB2312"/>
                      <w:sz w:val="20"/>
                      <w:color w:val="000000"/>
                    </w:rPr>
                    <w:t>3年原厂质保及系统、漏洞库升级服务。</w:t>
                  </w:r>
                  <w:r>
                    <w:br/>
                  </w:r>
                  <w:r>
                    <w:rPr>
                      <w:rFonts w:ascii="仿宋_GB2312" w:hAnsi="仿宋_GB2312" w:cs="仿宋_GB2312" w:eastAsia="仿宋_GB2312"/>
                      <w:sz w:val="20"/>
                      <w:color w:val="000000"/>
                    </w:rPr>
                    <w:t>支持扫描</w:t>
                  </w:r>
                  <w:r>
                    <w:rPr>
                      <w:rFonts w:ascii="仿宋_GB2312" w:hAnsi="仿宋_GB2312" w:cs="仿宋_GB2312" w:eastAsia="仿宋_GB2312"/>
                      <w:sz w:val="20"/>
                      <w:color w:val="000000"/>
                    </w:rPr>
                    <w:t>非国产操作系统、</w:t>
                  </w:r>
                  <w:r>
                    <w:rPr>
                      <w:rFonts w:ascii="仿宋_GB2312" w:hAnsi="仿宋_GB2312" w:cs="仿宋_GB2312" w:eastAsia="仿宋_GB2312"/>
                      <w:sz w:val="20"/>
                      <w:color w:val="000000"/>
                    </w:rPr>
                    <w:t>国产操作系统、应用及软件的安全漏洞</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支持报告生成功能，可基于扫描结果生成漏洞扫描报告。</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终端杀毒</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配置国产化终端杀毒软件，配置</w:t>
                  </w:r>
                  <w:r>
                    <w:rPr>
                      <w:rFonts w:ascii="仿宋_GB2312" w:hAnsi="仿宋_GB2312" w:cs="仿宋_GB2312" w:eastAsia="仿宋_GB2312"/>
                      <w:sz w:val="20"/>
                      <w:color w:val="000000"/>
                    </w:rPr>
                    <w:t>200个客户端授权，提供3年系统及病毒库升级服务，控制中心支持国产化和非国产化环境部署，客户端兼容以下操作系统： Windows支持：Windows XP（32位）、Windows 7、Windows 8/8.1、Windows 10、Windows 11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国产化操作系统支持但不仅限于如下操作系统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银河麒麟、统信</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支持终端文件安全监控，及时处置恶意程序。</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安全态势管理中心</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配置国产化</w:t>
                  </w:r>
                  <w:r>
                    <w:rPr>
                      <w:rFonts w:ascii="仿宋_GB2312" w:hAnsi="仿宋_GB2312" w:cs="仿宋_GB2312" w:eastAsia="仿宋_GB2312"/>
                      <w:sz w:val="20"/>
                      <w:color w:val="000000"/>
                    </w:rPr>
                    <w:t>CPU和国产化操作系统，冗余电源</w:t>
                  </w:r>
                  <w:r>
                    <w:rPr>
                      <w:rFonts w:ascii="仿宋_GB2312" w:hAnsi="仿宋_GB2312" w:cs="仿宋_GB2312" w:eastAsia="仿宋_GB2312"/>
                      <w:sz w:val="20"/>
                      <w:color w:val="000000"/>
                    </w:rPr>
                    <w:t>，</w:t>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≥8T*4，</w:t>
                  </w:r>
                  <w:r>
                    <w:rPr>
                      <w:rFonts w:ascii="仿宋_GB2312" w:hAnsi="仿宋_GB2312" w:cs="仿宋_GB2312" w:eastAsia="仿宋_GB2312"/>
                      <w:sz w:val="20"/>
                      <w:color w:val="000000"/>
                    </w:rPr>
                    <w:t>含</w:t>
                  </w:r>
                  <w:r>
                    <w:rPr>
                      <w:rFonts w:ascii="仿宋_GB2312" w:hAnsi="仿宋_GB2312" w:cs="仿宋_GB2312" w:eastAsia="仿宋_GB2312"/>
                      <w:sz w:val="20"/>
                      <w:color w:val="000000"/>
                    </w:rPr>
                    <w:t>3年原厂质保及系统、特征库升级服务。</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http、ftp、dns等协议的流量采集监测。</w:t>
                  </w:r>
                </w:p>
                <w:p>
                  <w:pPr>
                    <w:pStyle w:val="null3"/>
                    <w:ind w:firstLine="200"/>
                    <w:jc w:val="left"/>
                  </w:pPr>
                  <w:r>
                    <w:rPr>
                      <w:rFonts w:ascii="仿宋_GB2312" w:hAnsi="仿宋_GB2312" w:cs="仿宋_GB2312" w:eastAsia="仿宋_GB2312"/>
                      <w:sz w:val="20"/>
                      <w:color w:val="000000"/>
                    </w:rPr>
                    <w:t>支持资产管理、威胁监测、安全事件管理、安全数据统计等功能。</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属于《网络关键设备和网络安全专用产品目录》内的品类，提供</w:t>
                  </w:r>
                  <w:r>
                    <w:rPr>
                      <w:rFonts w:ascii="仿宋_GB2312" w:hAnsi="仿宋_GB2312" w:cs="仿宋_GB2312" w:eastAsia="仿宋_GB2312"/>
                      <w:sz w:val="20"/>
                      <w:color w:val="000000"/>
                    </w:rPr>
                    <w:t>“网络安全专用产品安全认证证书”或“安全检测证书”</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提供计算机软件著作权。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IT综合网管系统</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包含用户管理、拓扑管理、权限管理、运行管理、异常告警等功能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主机监控：支持</w:t>
                  </w:r>
                  <w:r>
                    <w:rPr>
                      <w:rFonts w:ascii="仿宋_GB2312" w:hAnsi="仿宋_GB2312" w:cs="仿宋_GB2312" w:eastAsia="仿宋_GB2312"/>
                      <w:sz w:val="20"/>
                      <w:color w:val="000000"/>
                    </w:rPr>
                    <w:t>SNMPV1/V2/V3、SSH、TELNET协议。支持windows、linux等操作系统监测 。支持系统的CPU、内存、进程、服务、端口等状态监测。</w:t>
                  </w:r>
                  <w:r>
                    <w:br/>
                  </w:r>
                  <w:r>
                    <w:rPr>
                      <w:rFonts w:ascii="仿宋_GB2312" w:hAnsi="仿宋_GB2312" w:cs="仿宋_GB2312" w:eastAsia="仿宋_GB2312"/>
                      <w:sz w:val="20"/>
                      <w:color w:val="000000"/>
                    </w:rPr>
                    <w:t>3、网络监控：针对网络设备的CPU、内存、风扇和电源的监测，</w:t>
                  </w:r>
                </w:p>
                <w:p>
                  <w:pPr>
                    <w:pStyle w:val="null3"/>
                    <w:ind w:firstLine="200"/>
                    <w:jc w:val="left"/>
                  </w:pPr>
                  <w:r>
                    <w:rPr>
                      <w:rFonts w:ascii="仿宋_GB2312" w:hAnsi="仿宋_GB2312" w:cs="仿宋_GB2312" w:eastAsia="仿宋_GB2312"/>
                      <w:sz w:val="20"/>
                      <w:color w:val="000000"/>
                    </w:rPr>
                    <w:t>4、支</w:t>
                  </w:r>
                  <w:r>
                    <w:rPr>
                      <w:rFonts w:ascii="仿宋_GB2312" w:hAnsi="仿宋_GB2312" w:cs="仿宋_GB2312" w:eastAsia="仿宋_GB2312"/>
                      <w:sz w:val="20"/>
                      <w:color w:val="000000"/>
                    </w:rPr>
                    <w:t>持</w:t>
                  </w:r>
                  <w:r>
                    <w:rPr>
                      <w:rFonts w:ascii="仿宋_GB2312" w:hAnsi="仿宋_GB2312" w:cs="仿宋_GB2312" w:eastAsia="仿宋_GB2312"/>
                      <w:sz w:val="20"/>
                      <w:color w:val="000000"/>
                    </w:rPr>
                    <w:t>SNMPV1、V2、V3</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数据库监控</w:t>
                  </w:r>
                  <w:r>
                    <w:rPr>
                      <w:rFonts w:ascii="仿宋_GB2312" w:hAnsi="仿宋_GB2312" w:cs="仿宋_GB2312" w:eastAsia="仿宋_GB2312"/>
                      <w:sz w:val="20"/>
                      <w:color w:val="000000"/>
                    </w:rPr>
                    <w:t>:支持MYSQL、ORACLE、DB2、达梦、人大金仓等数据库的实时监测</w:t>
                  </w:r>
                </w:p>
                <w:p>
                  <w:pPr>
                    <w:pStyle w:val="null3"/>
                    <w:ind w:firstLine="2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中间件监控：支持对</w:t>
                  </w:r>
                  <w:r>
                    <w:rPr>
                      <w:rFonts w:ascii="仿宋_GB2312" w:hAnsi="仿宋_GB2312" w:cs="仿宋_GB2312" w:eastAsia="仿宋_GB2312"/>
                      <w:sz w:val="20"/>
                      <w:color w:val="000000"/>
                    </w:rPr>
                    <w:t>WEBLOGIC、IIS、TOMCAT、APACHE等中间件监控，</w:t>
                  </w:r>
                </w:p>
                <w:p>
                  <w:pPr>
                    <w:pStyle w:val="null3"/>
                    <w:ind w:firstLine="200"/>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支持对服务器节点的状态监测。</w:t>
                  </w:r>
                  <w:r>
                    <w:br/>
                  </w:r>
                  <w:r>
                    <w:rPr>
                      <w:rFonts w:ascii="仿宋_GB2312" w:hAnsi="仿宋_GB2312" w:cs="仿宋_GB2312" w:eastAsia="仿宋_GB2312"/>
                      <w:sz w:val="20"/>
                      <w:color w:val="000000"/>
                    </w:rPr>
                    <w:t>8、支持报告管理功能。</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信息消磁清除系统</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 50Hz，消磁功能： 硬盘（固态硬盘除外）、软盘、磁带、磁卡等磁性存储介质；有效消磁区最低场强高于10000(Gs)，销毁标准：国家保密局一级销毁标准；清除功能：硬盘、U盘、IC卡等可读写介质；支消磁日志管理：消磁过程有详细消磁日志记录，并可查询消磁记录，通过管理软件将本机消磁日志导入计算机便于管理，打印；支持计算机管理：能够实现计算机对消磁过程的全面管理，通过授权身份登录管理界面进行记录消磁操作员、监消员、介质类型、销毁时间、所属部门、消磁电压、消磁场强、消磁结果等。</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光电模块、转换头、线览等</w:t>
                  </w:r>
                </w:p>
              </w:tc>
            </w:tr>
          </w:tbl>
          <w:p>
            <w:pPr>
              <w:pStyle w:val="null3"/>
            </w:pPr>
            <w:r>
              <w:rPr>
                <w:rFonts w:ascii="仿宋_GB2312" w:hAnsi="仿宋_GB2312" w:cs="仿宋_GB2312" w:eastAsia="仿宋_GB2312"/>
                <w:sz w:val="21"/>
                <w:b/>
              </w:rPr>
              <w:t>本项目核心产品为终端杀毒。</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合同签订之日起60个日历天交货并完成安装调试。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进度款，项目完成并经验收合格后，达到付款条件起7个工作日内，支付合同总金额的60.0%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自通过验收之日起，供应商须提供3年产品原厂质保服务。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委托代理人授权书或法定代表人（主要负责人）身份证明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没有重大违法记录的声明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2025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税收缴纳证明：供应商提供已缴纳的2026年1月至今至少一个月的纳税证明或完税证明（任意税种）；依法免税的单位应提供相关文件证明；供应商为零申报企业提供证明材料；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社会保障资金缴纳证明：供应商提供已缴存的2026年1月至今至少一个月的社会保障资金缴存单据或社保机构开具的社会保险参保缴费情况证明，依法不需要缴纳社会保障资金的单位应提供相关证明材料；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“信用中国”及中国政府采购网信用查询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本项目专门面向中小企业采购，非中小企业单位（监狱企业、残疾人福利单位除外）不得参与；（提供中小企业声明函）。</w:t>
            </w:r>
          </w:p>
        </w:tc>
        <w:tc>
          <w:tcPr>
            <w:tcW w:type="dxa" w:w="1661"/>
          </w:tcPr>
          <w:p>
            <w:pPr>
              <w:pStyle w:val="null3"/>
            </w:pPr>
            <w:r>
              <w:rPr>
                <w:rFonts w:ascii="仿宋_GB2312" w:hAnsi="仿宋_GB2312" w:cs="仿宋_GB2312" w:eastAsia="仿宋_GB2312"/>
              </w:rPr>
              <w:t>残疾人福利性单位声明函 中小企业声明函 资格证明文件docx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开标一览表docx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商务偏离表docx 分项报价表.docx 技术偏离表docx 开标一览表docx 投标函 项目实施方案docx 资格证明文件docx 标的清单 投标文件封面 承诺文件.docx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只能有一个有效报价，不得提交选择性报价，且报价不超过采购预算、最高限价或者单价最高限价；</w:t>
            </w:r>
          </w:p>
        </w:tc>
        <w:tc>
          <w:tcPr>
            <w:tcW w:type="dxa" w:w="1661"/>
          </w:tcPr>
          <w:p>
            <w:pPr>
              <w:pStyle w:val="null3"/>
            </w:pPr>
            <w:r>
              <w:rPr>
                <w:rFonts w:ascii="仿宋_GB2312" w:hAnsi="仿宋_GB2312" w:cs="仿宋_GB2312" w:eastAsia="仿宋_GB2312"/>
              </w:rPr>
              <w:t>分项报价表.docx 开标一览表docx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项目实施方案docx 承诺文件.docx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投标文件是否出现重大负偏离的</w:t>
            </w:r>
          </w:p>
        </w:tc>
        <w:tc>
          <w:tcPr>
            <w:tcW w:type="dxa" w:w="3322"/>
          </w:tcPr>
          <w:p>
            <w:pPr>
              <w:pStyle w:val="null3"/>
            </w:pPr>
            <w:r>
              <w:rPr>
                <w:rFonts w:ascii="仿宋_GB2312" w:hAnsi="仿宋_GB2312" w:cs="仿宋_GB2312" w:eastAsia="仿宋_GB2312"/>
              </w:rPr>
              <w:t>投标文件未出现重大负偏离的；</w:t>
            </w:r>
          </w:p>
        </w:tc>
        <w:tc>
          <w:tcPr>
            <w:tcW w:type="dxa" w:w="1661"/>
          </w:tcPr>
          <w:p>
            <w:pPr>
              <w:pStyle w:val="null3"/>
            </w:pPr>
            <w:r>
              <w:rPr>
                <w:rFonts w:ascii="仿宋_GB2312" w:hAnsi="仿宋_GB2312" w:cs="仿宋_GB2312" w:eastAsia="仿宋_GB2312"/>
              </w:rPr>
              <w:t>项目实施方案docx 标的清单 投标文件封面 承诺文件.docx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商务偏离表docx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产品选型及配置：评标委员会根据投标人提供的《技术偏离表》对所提供产品的技术指标进行比较和评价，参数完全满足招标文件要求计30分；▲标项参数每负偏离一项扣2分，需提供证明材料。非▲标项参数每负偏离一项扣1分，扣完为止。 备注：技术偏离表完全复制招标文件文件技术参数的，评标委员会可给予5分的扣减。</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承诺文件.docx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 根据投标人提供的产品质量保证相关资料进行评分：质量保证方案完整，产品各项功能及来源渠道证明材料齐全，技术支持人员配备合理，产品交付、部署及策略配置质控流程清晰科学，且针对本项目网络环境针对性强的，计10分；有部分证明材料和资料，计6分；证明材料和资料缺失严重，计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承诺文件.docx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及培训效果保证措施：根据投标人提供的培训方案及培训效果保证措施等进行评分，方案完善、工作目标明确、科学合理、培训效果保证措施充分，计4分，有培训方案、目标较明确、措施和各项工作目标、条理性不强，计2分，方案较差，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承诺文件.docx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售后服务：根据投标人提供的针对本项目特点的售后服务评分。方案完善、科学合理，针对性强、服务承诺明确，计6分，方案较完整、合理可行、特点和承诺不明确，计4分，方案较差，计2分；未提供不计分。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承诺文件.docx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供应商具有2023年6月至今的同类业绩证明文件（以合同签订时间为准），每提供一个得4分，满分20分。 注：投标文件中附加盖供应商公章的合同复印件。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承诺文件.docx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