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版本号：SZTCS-XA-260522-FW20260528002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铜川市宜君县高标准农田建设项目底数核查项目采购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SZTCS-XA-260522-FW</w:t>
      </w:r>
      <w:r>
        <w:br/>
      </w:r>
      <w:r>
        <w:br/>
      </w:r>
      <w:r>
        <w:br/>
      </w:r>
    </w:p>
    <w:p>
      <w:pPr>
        <w:pStyle w:val="null3"/>
        <w:jc w:val="center"/>
        <w:outlineLvl w:val="2"/>
      </w:pPr>
      <w:r>
        <w:rPr>
          <w:rFonts w:ascii="仿宋_GB2312" w:hAnsi="仿宋_GB2312" w:cs="仿宋_GB2312" w:eastAsia="仿宋_GB2312"/>
          <w:sz w:val="28"/>
          <w:b/>
        </w:rPr>
        <w:t>宜君县农业农村局</w:t>
      </w:r>
    </w:p>
    <w:p>
      <w:pPr>
        <w:pStyle w:val="null3"/>
        <w:jc w:val="center"/>
        <w:outlineLvl w:val="2"/>
      </w:pPr>
      <w:r>
        <w:rPr>
          <w:rFonts w:ascii="仿宋_GB2312" w:hAnsi="仿宋_GB2312" w:cs="仿宋_GB2312" w:eastAsia="仿宋_GB2312"/>
          <w:sz w:val="28"/>
          <w:b/>
        </w:rPr>
        <w:t>陕西省中投招标有限责任公司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陕西省中投招标有限责任公司</w:t>
      </w:r>
      <w:r>
        <w:rPr>
          <w:rFonts w:ascii="仿宋_GB2312" w:hAnsi="仿宋_GB2312" w:cs="仿宋_GB2312" w:eastAsia="仿宋_GB2312"/>
        </w:rPr>
        <w:t>（以下简称“代理机构”）受</w:t>
      </w:r>
      <w:r>
        <w:rPr>
          <w:rFonts w:ascii="仿宋_GB2312" w:hAnsi="仿宋_GB2312" w:cs="仿宋_GB2312" w:eastAsia="仿宋_GB2312"/>
        </w:rPr>
        <w:t>宜君县农业农村局</w:t>
      </w:r>
      <w:r>
        <w:rPr>
          <w:rFonts w:ascii="仿宋_GB2312" w:hAnsi="仿宋_GB2312" w:cs="仿宋_GB2312" w:eastAsia="仿宋_GB2312"/>
        </w:rPr>
        <w:t>委托，拟对</w:t>
      </w:r>
      <w:r>
        <w:rPr>
          <w:rFonts w:ascii="仿宋_GB2312" w:hAnsi="仿宋_GB2312" w:cs="仿宋_GB2312" w:eastAsia="仿宋_GB2312"/>
        </w:rPr>
        <w:t>铜川市宜君县高标准农田建设项目底数核查项目采购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SZTCS-XA-260522-FW</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铜川市宜君县高标准农田建设项目底数核查项目采购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高标准农田整治部级专班和省市的文件要求结合《高标准农田底数核查技术方案》，对铜川市宜君县各部门自2011至2024年建设完成的高标准农田建设项目进行项目列表、项目属性、项目矢量及项目附件等数据进行质量检查、数据质量核查、底图制作、数据套合分析、实地核查、数据库建设、成果图集制作与报告编写，确保数据规范、内容真实准确，夯实底数核查工作数据基础。</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采购包1（铜川市宜君县高标准农田建设项目底数核查项目采购）：属于专门面向中小企业采购。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1、营业执照：(1)根据供应商类别进行提供：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供应商需在项目电子化交易系统中按要求上传相应证明文件并进行电子签章；</w:t>
      </w:r>
    </w:p>
    <w:p>
      <w:pPr>
        <w:pStyle w:val="null3"/>
      </w:pPr>
      <w:r>
        <w:rPr>
          <w:rFonts w:ascii="仿宋_GB2312" w:hAnsi="仿宋_GB2312" w:cs="仿宋_GB2312" w:eastAsia="仿宋_GB2312"/>
        </w:rPr>
        <w:t>2、法定代表人授权委托书：法定代表人授权委托书（附法定代表人、被授权人身份证复印件并加盖公章）和被授权人身份证原件。（法定代表人参加投标只须提供法定代表人身份证明书及身份证原件）。供应商需在项目电子化交易系统中按要求上传相应证明文件并进行电子签章；</w:t>
      </w:r>
    </w:p>
    <w:p>
      <w:pPr>
        <w:pStyle w:val="null3"/>
      </w:pPr>
      <w:r>
        <w:rPr>
          <w:rFonts w:ascii="仿宋_GB2312" w:hAnsi="仿宋_GB2312" w:cs="仿宋_GB2312" w:eastAsia="仿宋_GB2312"/>
        </w:rPr>
        <w:t>3、企业资质：供应商须具有行政主管部门颁发的测绘乙级（含乙级）和土地规划乙级及以上资质。供应商需在项目电子化交易系统中按要求上传相应证明文件并进行电子签章；</w:t>
      </w:r>
    </w:p>
    <w:p>
      <w:pPr>
        <w:pStyle w:val="null3"/>
      </w:pPr>
      <w:r>
        <w:rPr>
          <w:rFonts w:ascii="仿宋_GB2312" w:hAnsi="仿宋_GB2312" w:cs="仿宋_GB2312" w:eastAsia="仿宋_GB2312"/>
        </w:rPr>
        <w:t>4、项目负责人：拟派项目负责人须具备测绘工程、水利工程或土地规划相关专业中级及以上职称。供应商需在项目电子化交易系统中按要求上传相应证明文件并进行电子签章；</w:t>
      </w:r>
    </w:p>
    <w:p>
      <w:pPr>
        <w:pStyle w:val="null3"/>
      </w:pPr>
      <w:r>
        <w:rPr>
          <w:rFonts w:ascii="仿宋_GB2312" w:hAnsi="仿宋_GB2312" w:cs="仿宋_GB2312" w:eastAsia="仿宋_GB2312"/>
        </w:rPr>
        <w:t>5、财务报告：提供2024年度或2025年度完整的经审计的财务报告（成立时间至投标文件提交截止时间不足一年的可提供成立后任意时段的资产负债表），或提交自2025年1月1日以来银行（基本户开户行）出具的资信证明，或信用担保机构出具的投标担保函（以上三种形式的资料提供任何一种即可）。其他组织和自然人提供银行出具的资信证明或财务报表。供应商需在项目电子化交易系统中按要求上传相应证明文件并进行电子签章；</w:t>
      </w:r>
    </w:p>
    <w:p>
      <w:pPr>
        <w:pStyle w:val="null3"/>
      </w:pPr>
      <w:r>
        <w:rPr>
          <w:rFonts w:ascii="仿宋_GB2312" w:hAnsi="仿宋_GB2312" w:cs="仿宋_GB2312" w:eastAsia="仿宋_GB2312"/>
        </w:rPr>
        <w:t>6、完税证明：提供响应文件提交截止时间前近六个月内至少一个月的纳税证明或完税证明（增值税，印花税，城市维护建设费，企业所得税等一种或多种税种），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7、社保缴纳凭证：提供响应文件提交截止时间前近六个月内至少一个月的社会保障资金缴存单据或社保机构开具的社会保险参保缴费情况证明，依法不需要缴纳社会保障资金的单位应提供相关证明材料。供应商需在项目电子化交易系统中按要求上传相应证明文件并进行电子 签章；</w:t>
      </w:r>
    </w:p>
    <w:p>
      <w:pPr>
        <w:pStyle w:val="null3"/>
      </w:pPr>
      <w:r>
        <w:rPr>
          <w:rFonts w:ascii="仿宋_GB2312" w:hAnsi="仿宋_GB2312" w:cs="仿宋_GB2312" w:eastAsia="仿宋_GB2312"/>
        </w:rPr>
        <w:t>8、履行合同的能力：供具有履行本合同所必需的设备和专业技术能力的声明。供应商需在项目电子化交易系统中按要求上传相应证明文件并进行电子签章；</w:t>
      </w:r>
    </w:p>
    <w:p>
      <w:pPr>
        <w:pStyle w:val="null3"/>
      </w:pPr>
      <w:r>
        <w:rPr>
          <w:rFonts w:ascii="仿宋_GB2312" w:hAnsi="仿宋_GB2312" w:cs="仿宋_GB2312" w:eastAsia="仿宋_GB2312"/>
        </w:rPr>
        <w:t>9、无重大违法记录的书面声明：参加政府采购活动前3年内，在经营活动中没有重大违法记录的书面声明。供应商需在项目电子化交易系统中按要求上传相应证明文件并进行电子签章；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10、企业信誉截图：供应商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供应商需提供相关证明资料）。供应商需在项目电子化交易系统中按要求上传相应证明文件并进行电子签章；</w:t>
      </w:r>
    </w:p>
    <w:p>
      <w:pPr>
        <w:pStyle w:val="null3"/>
      </w:pPr>
      <w:r>
        <w:rPr>
          <w:rFonts w:ascii="仿宋_GB2312" w:hAnsi="仿宋_GB2312" w:cs="仿宋_GB2312" w:eastAsia="仿宋_GB2312"/>
        </w:rPr>
        <w:t>11、非联合体投标：本项目不接受联合体投标。供应商需在项目电子化交易系统中按要求上传相应证明文件并进行电子签章；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宜君县农业农村局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陕西省铜川市宜君县宜阳北街28号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13509191164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陕西省中投招标有限责任公司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陕西省西安市莲湖区⼤庆路66号恒和智系智慧产业园3号楼703B</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杜艳艳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13991227376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宜君县政府采购管理股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蔡富春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0919-5996058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采购包1：1,281,400.00元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代理服务费收费标准：15000元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宜君县农业农村局</w:t>
      </w:r>
      <w:r>
        <w:rPr>
          <w:rFonts w:ascii="仿宋_GB2312" w:hAnsi="仿宋_GB2312" w:cs="仿宋_GB2312" w:eastAsia="仿宋_GB2312"/>
        </w:rPr>
        <w:t>和</w:t>
      </w:r>
      <w:r>
        <w:rPr>
          <w:rFonts w:ascii="仿宋_GB2312" w:hAnsi="仿宋_GB2312" w:cs="仿宋_GB2312" w:eastAsia="仿宋_GB2312"/>
        </w:rPr>
        <w:t>陕西省中投招标有限责任公司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宜君县农业农村局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陕西省中投招标有限责任公司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宜君县农业农村局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陕西省中投招标有限责任公司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严格按照招标文件及采购人要求参数进行验收，同时满足国家、行业相关标推及规范、规定要求。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陕西省中投招标有限责任公司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陕西省中投招标有限责任公司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陕西省中投招标有限责任公司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联系人：杜艳艳</w:t>
      </w:r>
    </w:p>
    <w:p>
      <w:pPr>
        <w:pStyle w:val="null3"/>
      </w:pPr>
      <w:r>
        <w:rPr>
          <w:rFonts w:ascii="仿宋_GB2312" w:hAnsi="仿宋_GB2312" w:cs="仿宋_GB2312" w:eastAsia="仿宋_GB2312"/>
        </w:rPr>
        <w:t>联系电话：13991227376</w:t>
      </w:r>
    </w:p>
    <w:p>
      <w:pPr>
        <w:pStyle w:val="null3"/>
      </w:pPr>
      <w:r>
        <w:rPr>
          <w:rFonts w:ascii="仿宋_GB2312" w:hAnsi="仿宋_GB2312" w:cs="仿宋_GB2312" w:eastAsia="仿宋_GB2312"/>
        </w:rPr>
        <w:t>地址：陕西省西安市莲湖区⼤庆路66号恒和智系智慧产业园3号楼703B</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高标准农田整治部级专班和省市的文件要求结合《高标准农田底数核查技术方案》，对铜川市宜君县各部门自2011至2024年建设完成的高标准农田建设项目进行项目列表、项目属性、项目矢量及项目附件等数据进行质量检查、数据质量核查、底图制作、数据套合分析、实地核查、数据库建设、成果图集制作与报告编写，确保数据规范、内容真实准确，夯实底数核查工作数据基础。</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1,281,400.00</w:t>
      </w:r>
    </w:p>
    <w:p>
      <w:pPr>
        <w:pStyle w:val="null3"/>
      </w:pPr>
      <w:r>
        <w:rPr>
          <w:rFonts w:ascii="仿宋_GB2312" w:hAnsi="仿宋_GB2312" w:cs="仿宋_GB2312" w:eastAsia="仿宋_GB2312"/>
        </w:rPr>
        <w:t>采购包最高限价（元）: 1,050,000.00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1,281,400.00</w:t>
            </w:r>
          </w:p>
        </w:tc>
        <w:tc>
          <w:tcPr>
            <w:tcW w:type="dxa" w:w="755"/>
          </w:tcPr>
          <w:p>
            <w:pPr>
              <w:pStyle w:val="null3"/>
            </w:pPr>
            <w:r>
              <w:rPr>
                <w:rFonts w:ascii="仿宋_GB2312" w:hAnsi="仿宋_GB2312" w:cs="仿宋_GB2312" w:eastAsia="仿宋_GB2312"/>
              </w:rPr>
              <w:t>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7"/>
              </w:rPr>
              <w:t>1.</w:t>
            </w:r>
            <w:r>
              <w:rPr>
                <w:rFonts w:ascii="仿宋_GB2312" w:hAnsi="仿宋_GB2312" w:cs="仿宋_GB2312" w:eastAsia="仿宋_GB2312"/>
                <w:sz w:val="27"/>
              </w:rPr>
              <w:t>基础资料收集</w:t>
            </w:r>
            <w:r>
              <w:rPr>
                <w:rFonts w:ascii="仿宋_GB2312" w:hAnsi="仿宋_GB2312" w:cs="仿宋_GB2312" w:eastAsia="仿宋_GB2312"/>
                <w:sz w:val="27"/>
              </w:rPr>
              <w:t>整理与数据质量核查</w:t>
            </w:r>
          </w:p>
          <w:p>
            <w:pPr>
              <w:pStyle w:val="null3"/>
              <w:ind w:firstLine="480"/>
              <w:jc w:val="both"/>
            </w:pPr>
            <w:r>
              <w:rPr>
                <w:rFonts w:ascii="仿宋_GB2312" w:hAnsi="仿宋_GB2312" w:cs="仿宋_GB2312" w:eastAsia="仿宋_GB2312"/>
                <w:sz w:val="27"/>
              </w:rPr>
              <w:t>全面收集宜君县</w:t>
            </w:r>
            <w:r>
              <w:rPr>
                <w:rFonts w:ascii="仿宋_GB2312" w:hAnsi="仿宋_GB2312" w:cs="仿宋_GB2312" w:eastAsia="仿宋_GB2312"/>
                <w:sz w:val="27"/>
              </w:rPr>
              <w:t>2011-202</w:t>
            </w:r>
            <w:r>
              <w:rPr>
                <w:rFonts w:ascii="仿宋_GB2312" w:hAnsi="仿宋_GB2312" w:cs="仿宋_GB2312" w:eastAsia="仿宋_GB2312"/>
                <w:sz w:val="27"/>
              </w:rPr>
              <w:t>4</w:t>
            </w:r>
            <w:r>
              <w:rPr>
                <w:rFonts w:ascii="仿宋_GB2312" w:hAnsi="仿宋_GB2312" w:cs="仿宋_GB2312" w:eastAsia="仿宋_GB2312"/>
                <w:sz w:val="27"/>
              </w:rPr>
              <w:t>年度立项建设的高标准农田建设项目相关资料</w:t>
            </w:r>
            <w:r>
              <w:rPr>
                <w:rFonts w:ascii="仿宋_GB2312" w:hAnsi="仿宋_GB2312" w:cs="仿宋_GB2312" w:eastAsia="仿宋_GB2312"/>
                <w:sz w:val="27"/>
              </w:rPr>
              <w:t>，根据</w:t>
            </w:r>
            <w:r>
              <w:rPr>
                <w:rFonts w:ascii="仿宋_GB2312" w:hAnsi="仿宋_GB2312" w:cs="仿宋_GB2312" w:eastAsia="仿宋_GB2312"/>
                <w:sz w:val="27"/>
              </w:rPr>
              <w:t>2018年度第二次全国国土调查成果、第三次全国国土调查成果、2022和2023年度全国国土变更调查成果、永久基本农田保护红线数据、生态保护红线数据、大中型灌区数据等，同步开展高标准农田建设禁止区域、限制区域数据收集、整理分析。</w:t>
            </w:r>
          </w:p>
          <w:p>
            <w:pPr>
              <w:pStyle w:val="null3"/>
              <w:ind w:firstLine="480"/>
              <w:jc w:val="both"/>
            </w:pPr>
            <w:r>
              <w:rPr>
                <w:rFonts w:ascii="仿宋_GB2312" w:hAnsi="仿宋_GB2312" w:cs="仿宋_GB2312" w:eastAsia="仿宋_GB2312"/>
                <w:sz w:val="27"/>
              </w:rPr>
              <w:t>2.根据项目类别按照要求分别整理项目信息，并按格式要求整理项目数据，要求字段规范、图属一致。</w:t>
            </w:r>
            <w:r>
              <w:rPr>
                <w:rFonts w:ascii="仿宋_GB2312" w:hAnsi="仿宋_GB2312" w:cs="仿宋_GB2312" w:eastAsia="仿宋_GB2312"/>
                <w:sz w:val="27"/>
              </w:rPr>
              <w:t>开展项目清单检查、项目矢量数据检查、附件数据检查，并</w:t>
            </w:r>
            <w:r>
              <w:rPr>
                <w:rFonts w:ascii="仿宋_GB2312" w:hAnsi="仿宋_GB2312" w:cs="仿宋_GB2312" w:eastAsia="仿宋_GB2312"/>
                <w:sz w:val="27"/>
              </w:rPr>
              <w:t>符合《高标准农田建设底数核查数据质量检查技术规则》的有关标准。</w:t>
            </w:r>
          </w:p>
          <w:p>
            <w:pPr>
              <w:pStyle w:val="null3"/>
              <w:ind w:firstLine="480"/>
              <w:jc w:val="both"/>
            </w:pPr>
            <w:r>
              <w:rPr>
                <w:rFonts w:ascii="仿宋_GB2312" w:hAnsi="仿宋_GB2312" w:cs="仿宋_GB2312" w:eastAsia="仿宋_GB2312"/>
                <w:sz w:val="27"/>
              </w:rPr>
              <w:t>3.底图制作</w:t>
            </w:r>
          </w:p>
          <w:p>
            <w:pPr>
              <w:pStyle w:val="null3"/>
              <w:ind w:firstLine="480"/>
              <w:jc w:val="both"/>
            </w:pPr>
            <w:r>
              <w:rPr>
                <w:rFonts w:ascii="仿宋_GB2312" w:hAnsi="仿宋_GB2312" w:cs="仿宋_GB2312" w:eastAsia="仿宋_GB2312"/>
                <w:sz w:val="27"/>
              </w:rPr>
              <w:t>根据《高标准农田建设底数核查底图制作技术规则》</w:t>
            </w:r>
            <w:r>
              <w:rPr>
                <w:rFonts w:ascii="仿宋_GB2312" w:hAnsi="仿宋_GB2312" w:cs="仿宋_GB2312" w:eastAsia="仿宋_GB2312"/>
                <w:sz w:val="27"/>
              </w:rPr>
              <w:t>制作高标准农田底图</w:t>
            </w:r>
            <w:r>
              <w:rPr>
                <w:rFonts w:ascii="仿宋_GB2312" w:hAnsi="仿宋_GB2312" w:cs="仿宋_GB2312" w:eastAsia="仿宋_GB2312"/>
                <w:sz w:val="27"/>
              </w:rPr>
              <w:t>。</w:t>
            </w:r>
            <w:r>
              <w:rPr>
                <w:rFonts w:ascii="仿宋_GB2312" w:hAnsi="仿宋_GB2312" w:cs="仿宋_GB2312" w:eastAsia="仿宋_GB2312"/>
                <w:sz w:val="27"/>
              </w:rPr>
              <w:t>底图制作主要包括矢量数据进行坐标转换，项目矢量数据合并，分类别、按时间先后顺序开展项目图斑去重分析，椭球面积计算、面积汇总统计等</w:t>
            </w:r>
            <w:r>
              <w:rPr>
                <w:rFonts w:ascii="仿宋_GB2312" w:hAnsi="仿宋_GB2312" w:cs="仿宋_GB2312" w:eastAsia="仿宋_GB2312"/>
                <w:sz w:val="27"/>
              </w:rPr>
              <w:t>。</w:t>
            </w:r>
          </w:p>
          <w:p>
            <w:pPr>
              <w:pStyle w:val="null3"/>
              <w:ind w:firstLine="480"/>
              <w:jc w:val="both"/>
            </w:pPr>
            <w:r>
              <w:rPr>
                <w:rFonts w:ascii="仿宋_GB2312" w:hAnsi="仿宋_GB2312" w:cs="仿宋_GB2312" w:eastAsia="仿宋_GB2312"/>
                <w:sz w:val="27"/>
              </w:rPr>
              <w:t>4.数据套合分析</w:t>
            </w:r>
          </w:p>
          <w:p>
            <w:pPr>
              <w:pStyle w:val="null3"/>
              <w:ind w:firstLine="480"/>
              <w:jc w:val="both"/>
            </w:pPr>
            <w:r>
              <w:rPr>
                <w:rFonts w:ascii="仿宋_GB2312" w:hAnsi="仿宋_GB2312" w:cs="仿宋_GB2312" w:eastAsia="仿宋_GB2312"/>
                <w:sz w:val="27"/>
              </w:rPr>
              <w:t>基于工作底图</w:t>
            </w:r>
            <w:r>
              <w:rPr>
                <w:rFonts w:ascii="仿宋_GB2312" w:hAnsi="仿宋_GB2312" w:cs="仿宋_GB2312" w:eastAsia="仿宋_GB2312"/>
                <w:sz w:val="27"/>
              </w:rPr>
              <w:t>，分年度、分阶段与国土调查成果</w:t>
            </w:r>
            <w:r>
              <w:rPr>
                <w:rFonts w:ascii="仿宋_GB2312" w:hAnsi="仿宋_GB2312" w:cs="仿宋_GB2312" w:eastAsia="仿宋_GB2312"/>
                <w:sz w:val="27"/>
              </w:rPr>
              <w:t>(二调、三调)、永久基本农田、国土变更调查成果“三区三线”划定成果、大中型灌区等专题数据、及禁建区、限建区等各类管控区等专题数据进行空间套合分析，摸清高标准农田建设情况、保有情况及待建规模等底数。汇总形成高标准农田建设底数、保有底数及待建底数等统计分析成果</w:t>
            </w:r>
            <w:r>
              <w:rPr>
                <w:rFonts w:ascii="仿宋_GB2312" w:hAnsi="仿宋_GB2312" w:cs="仿宋_GB2312" w:eastAsia="仿宋_GB2312"/>
                <w:sz w:val="27"/>
              </w:rPr>
              <w:t>，并符合《高标准农田建设底数核查套合分析技术规则》的有关标准。</w:t>
            </w:r>
          </w:p>
          <w:p>
            <w:pPr>
              <w:pStyle w:val="null3"/>
              <w:ind w:firstLine="480"/>
              <w:jc w:val="both"/>
            </w:pPr>
            <w:r>
              <w:rPr>
                <w:rFonts w:ascii="仿宋_GB2312" w:hAnsi="仿宋_GB2312" w:cs="仿宋_GB2312" w:eastAsia="仿宋_GB2312"/>
                <w:sz w:val="27"/>
              </w:rPr>
              <w:t>5.</w:t>
            </w:r>
            <w:r>
              <w:rPr>
                <w:rFonts w:ascii="仿宋_GB2312" w:hAnsi="仿宋_GB2312" w:cs="仿宋_GB2312" w:eastAsia="仿宋_GB2312"/>
                <w:sz w:val="27"/>
              </w:rPr>
              <w:t>实地核查</w:t>
            </w:r>
          </w:p>
          <w:p>
            <w:pPr>
              <w:pStyle w:val="null3"/>
              <w:ind w:firstLine="480"/>
              <w:jc w:val="both"/>
            </w:pPr>
            <w:r>
              <w:rPr>
                <w:rFonts w:ascii="仿宋_GB2312" w:hAnsi="仿宋_GB2312" w:cs="仿宋_GB2312" w:eastAsia="仿宋_GB2312"/>
                <w:sz w:val="27"/>
              </w:rPr>
              <w:t>对全县</w:t>
            </w:r>
            <w:r>
              <w:rPr>
                <w:rFonts w:ascii="仿宋_GB2312" w:hAnsi="仿宋_GB2312" w:cs="仿宋_GB2312" w:eastAsia="仿宋_GB2312"/>
                <w:sz w:val="27"/>
              </w:rPr>
              <w:t>区域内</w:t>
            </w:r>
            <w:r>
              <w:rPr>
                <w:rFonts w:ascii="仿宋_GB2312" w:hAnsi="仿宋_GB2312" w:cs="仿宋_GB2312" w:eastAsia="仿宋_GB2312"/>
                <w:sz w:val="27"/>
              </w:rPr>
              <w:t>高标准农田结合套合分析</w:t>
            </w:r>
            <w:r>
              <w:rPr>
                <w:rFonts w:ascii="仿宋_GB2312" w:hAnsi="仿宋_GB2312" w:cs="仿宋_GB2312" w:eastAsia="仿宋_GB2312"/>
                <w:sz w:val="27"/>
              </w:rPr>
              <w:t>，</w:t>
            </w:r>
            <w:r>
              <w:rPr>
                <w:rFonts w:ascii="仿宋_GB2312" w:hAnsi="仿宋_GB2312" w:cs="仿宋_GB2312" w:eastAsia="仿宋_GB2312"/>
                <w:sz w:val="27"/>
              </w:rPr>
              <w:t>针对审计、财政监督和巡视巡查等反映的数据不实问题、对上图入库数据与实地不符及对套合结果存疑的项目、对永久基本农田内</w:t>
            </w:r>
            <w:r>
              <w:rPr>
                <w:rFonts w:ascii="仿宋_GB2312" w:hAnsi="仿宋_GB2312" w:cs="仿宋_GB2312" w:eastAsia="仿宋_GB2312"/>
                <w:sz w:val="27"/>
              </w:rPr>
              <w:t>“不具备条件”建设的地块、其他应开展实地核查的情况，针对核查过程中发现的典型问题，及非农化、非粮化问题图斑等，均需开展实地自查核验，核实项目空间位置、建设面积、地类信息等，航拍正摄影像及实地拍摄照片及弃土相关证明材料形成问题调查佐证等材料及报告</w:t>
            </w:r>
            <w:r>
              <w:rPr>
                <w:rFonts w:ascii="仿宋_GB2312" w:hAnsi="仿宋_GB2312" w:cs="仿宋_GB2312" w:eastAsia="仿宋_GB2312"/>
                <w:sz w:val="27"/>
              </w:rPr>
              <w:t>，并符合</w:t>
            </w:r>
            <w:r>
              <w:rPr>
                <w:rFonts w:ascii="仿宋_GB2312" w:hAnsi="仿宋_GB2312" w:cs="仿宋_GB2312" w:eastAsia="仿宋_GB2312"/>
                <w:sz w:val="27"/>
              </w:rPr>
              <w:t>《高标准农田建设底数核查实地核查技术规则》</w:t>
            </w:r>
            <w:r>
              <w:rPr>
                <w:rFonts w:ascii="仿宋_GB2312" w:hAnsi="仿宋_GB2312" w:cs="仿宋_GB2312" w:eastAsia="仿宋_GB2312"/>
                <w:sz w:val="27"/>
              </w:rPr>
              <w:t>的有关标准。</w:t>
            </w:r>
          </w:p>
          <w:p>
            <w:pPr>
              <w:pStyle w:val="null3"/>
              <w:ind w:firstLine="480"/>
              <w:jc w:val="both"/>
            </w:pPr>
            <w:r>
              <w:rPr>
                <w:rFonts w:ascii="仿宋_GB2312" w:hAnsi="仿宋_GB2312" w:cs="仿宋_GB2312" w:eastAsia="仿宋_GB2312"/>
                <w:sz w:val="27"/>
              </w:rPr>
              <w:t>6.数据库建设</w:t>
            </w:r>
          </w:p>
          <w:p>
            <w:pPr>
              <w:pStyle w:val="null3"/>
              <w:ind w:firstLine="480"/>
              <w:jc w:val="both"/>
            </w:pPr>
            <w:r>
              <w:rPr>
                <w:rFonts w:ascii="仿宋_GB2312" w:hAnsi="仿宋_GB2312" w:cs="仿宋_GB2312" w:eastAsia="仿宋_GB2312"/>
                <w:sz w:val="27"/>
              </w:rPr>
              <w:t>搭建集图形数据、属性数据、核查文档、实景照片于一体的综合核查数据库，按照高标准农田建设底数核查相关技术规则的要求建立数据库，使用数据库质检软件对数据库进行全面检查，整改完善后数据库应逐级上报，并配合省市级进行数据库</w:t>
            </w:r>
            <w:r>
              <w:rPr>
                <w:rFonts w:ascii="仿宋_GB2312" w:hAnsi="仿宋_GB2312" w:cs="仿宋_GB2312" w:eastAsia="仿宋_GB2312"/>
                <w:sz w:val="27"/>
              </w:rPr>
              <w:t>100%全面审核，确保数据库的完整性、规范性、真实性和准确性。</w:t>
            </w:r>
            <w:r>
              <w:rPr>
                <w:rFonts w:ascii="仿宋_GB2312" w:hAnsi="仿宋_GB2312" w:cs="仿宋_GB2312" w:eastAsia="仿宋_GB2312"/>
                <w:sz w:val="27"/>
              </w:rPr>
              <w:t>并符合</w:t>
            </w:r>
            <w:r>
              <w:rPr>
                <w:rFonts w:ascii="仿宋_GB2312" w:hAnsi="仿宋_GB2312" w:cs="仿宋_GB2312" w:eastAsia="仿宋_GB2312"/>
                <w:sz w:val="27"/>
              </w:rPr>
              <w:t>《高标准农田建设底数核查数据安全管理技术规则》</w:t>
            </w:r>
            <w:r>
              <w:rPr>
                <w:rFonts w:ascii="仿宋_GB2312" w:hAnsi="仿宋_GB2312" w:cs="仿宋_GB2312" w:eastAsia="仿宋_GB2312"/>
                <w:sz w:val="27"/>
              </w:rPr>
              <w:t>的有关标准。</w:t>
            </w:r>
          </w:p>
          <w:p>
            <w:pPr>
              <w:pStyle w:val="null3"/>
              <w:ind w:firstLine="480"/>
              <w:jc w:val="both"/>
            </w:pPr>
            <w:r>
              <w:rPr>
                <w:rFonts w:ascii="仿宋_GB2312" w:hAnsi="仿宋_GB2312" w:cs="仿宋_GB2312" w:eastAsia="仿宋_GB2312"/>
                <w:sz w:val="27"/>
              </w:rPr>
              <w:t>7.成果图集制作与报告编写</w:t>
            </w:r>
          </w:p>
          <w:p>
            <w:pPr>
              <w:pStyle w:val="null3"/>
              <w:ind w:firstLine="480"/>
              <w:jc w:val="both"/>
            </w:pPr>
            <w:r>
              <w:rPr>
                <w:rFonts w:ascii="仿宋_GB2312" w:hAnsi="仿宋_GB2312" w:cs="仿宋_GB2312" w:eastAsia="仿宋_GB2312"/>
                <w:sz w:val="27"/>
              </w:rPr>
              <w:t>汇总高标底数核查数据，全面研究分析底数核查成果，编制高标底数核查技术报告、成果分析报告、工作报告、附件汇编和相关报表成果。编制高标底数核查成果专题图</w:t>
            </w:r>
            <w:r>
              <w:rPr>
                <w:rFonts w:ascii="仿宋_GB2312" w:hAnsi="仿宋_GB2312" w:cs="仿宋_GB2312" w:eastAsia="仿宋_GB2312"/>
                <w:sz w:val="27"/>
              </w:rPr>
              <w:t>(集)装订成册。包括地图设计、数据处理，符号化，要素综合取舍，图面关系处理，绘制图例，图廓装饰，转换印前数据格式等。</w:t>
            </w:r>
          </w:p>
          <w:p>
            <w:pPr>
              <w:pStyle w:val="null3"/>
              <w:ind w:firstLine="480"/>
              <w:jc w:val="both"/>
            </w:pPr>
            <w:r>
              <w:rPr>
                <w:rFonts w:ascii="仿宋_GB2312" w:hAnsi="仿宋_GB2312" w:cs="仿宋_GB2312" w:eastAsia="仿宋_GB2312"/>
                <w:sz w:val="27"/>
              </w:rPr>
              <w:t>8.成果核查及整改</w:t>
            </w:r>
          </w:p>
          <w:p>
            <w:pPr>
              <w:pStyle w:val="null3"/>
              <w:ind w:firstLine="480"/>
              <w:jc w:val="both"/>
            </w:pPr>
            <w:r>
              <w:rPr>
                <w:rFonts w:ascii="仿宋_GB2312" w:hAnsi="仿宋_GB2312" w:cs="仿宋_GB2312" w:eastAsia="仿宋_GB2312"/>
                <w:sz w:val="27"/>
              </w:rPr>
              <w:t>通过县、市、省三级质量核查，对逐级审核中发现的问题按照要求及时开展整改。</w:t>
            </w:r>
          </w:p>
          <w:p>
            <w:pPr>
              <w:pStyle w:val="null3"/>
              <w:ind w:firstLine="480"/>
              <w:jc w:val="both"/>
            </w:pPr>
            <w:r>
              <w:rPr>
                <w:rFonts w:ascii="仿宋_GB2312" w:hAnsi="仿宋_GB2312" w:cs="仿宋_GB2312" w:eastAsia="仿宋_GB2312"/>
                <w:sz w:val="27"/>
              </w:rPr>
              <w:t>9.成果上报及验收</w:t>
            </w:r>
          </w:p>
          <w:p>
            <w:pPr>
              <w:pStyle w:val="null3"/>
              <w:ind w:firstLine="480"/>
              <w:jc w:val="both"/>
            </w:pPr>
            <w:r>
              <w:rPr>
                <w:rFonts w:ascii="仿宋_GB2312" w:hAnsi="仿宋_GB2312" w:cs="仿宋_GB2312" w:eastAsia="仿宋_GB2312"/>
                <w:sz w:val="27"/>
              </w:rPr>
              <w:t>按照相应时间节点及时报送各阶段的核查成果，对反馈的问题进行数据库修改完善，确保成果通过验收。</w:t>
            </w:r>
          </w:p>
          <w:p>
            <w:pPr>
              <w:pStyle w:val="null3"/>
              <w:ind w:firstLine="48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供应商须根据本次服务要求，配备有⾜够的相关专业技术⼈员。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供应商须根据本次服务要求，配备有⾜够的相关专业设备。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达到采购⼈相关要求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铜川市宜君县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一、交付标准： (1)满足《高标准农田建设底数核查数据质量检查技术规则》《高标准农田建设底数核查底图制作技术规则》《高标准农田建设底数核查套合分析技术规则》《高标准农田建设底数核查数据安全管理技术规则》《高标准农田建设底数核查实地核查技术规则》 (2)成果文件要求：铜川市宜君县高标准农田建设项目底数核查项目技术报告、图件及数据库及相关附件，纸质版3套，电子版1份。 二、验收方法： 满足国家、省、市相关规定及行业现行技术标准、规范要求。本项目的验收以项目采购文件、响应文件、合同书、相关政策法规等作为验收依据，验收前须提供详细的方案，经采购人确认后方可执行。验收合格后，双方签署验收报告。如对服务以及质量有争议，采购人组织相关部门对服务和质量进行检验或者验收，未达到服务要求的，由成交单位承担全部责任。若验收不通过，采购人提出整改意见，成交单位须按照意见提出具体解决方案，处理时间应由双方协商决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进度款，受托方完成数据库移交，达到付款条件起7个工作日内，支付合同总金额的60.0%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进度款，受托方移交的成果通过验收，达到付款条件起7个工作日内，支付合同总金额的10.0%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中华人民共和国民法典》中的相关条款执行。未按合同或招标文件要求提供服务质量不能满足采购人技术要求，采购单位有权终止合同，甚至对供应商违约行为进行追究。未按合同或招标文件要求提供服务质量不能满足采购人技术要求，采购单位有权终止合同，甚至对供应商违约行为进行 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1、报价含完成任务所需的税费、核查规划费、⼈⼯费、交通费、专家费、租⻋费、资料费等所有费⽤。 2、合同其他条款：因资⾦拨款审批程序等原因，具体⽀付进度需结合采购⼈资⾦到账情况⽽定，供应商需预⻅且接受该情况。合同其他条款根据采购⽂件、响应⽂件及合同约定执⾏。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(1)根据供应商类别进行提供：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并加盖公章）和被授权人身份证原件。（法定代表人参加投标只须提供法定代表人身份证明书及身份证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供应商须具有行政主管部门颁发的测绘乙级（含乙级）和土地规划乙级及以上资质。供应商需在项目电子化交易系统中按要求上传相应证明文件并进行电子签章；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拟派项目负责人须具备测绘工程、水利工程或土地规划相关专业中级及以上职称。供应商需在项目电子化交易系统中按要求上传相应证明文件并进行电子签章；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供应商应提交的相关资格证明材料包1.docx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2024年度或2025年度完整的经审计的财务报告（成立时间至投标文件提交截止时间不足一年的可提供成立后任意时段的资产负债表），或提交自2025年1月1日以来银行（基本户开户行）出具的资信证明，或信用担保机构出具的投标担保函（以上三种形式的资料提供任何一种即可）。其他组织和自然人提供银行出具的资信证明或财务报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供应商应提交的相关资格证明材料包1.docx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响应文件提交截止时间前近六个月内至少一个月的纳税证明或完税证明（增值税，印花税，城市维护建设费，企业所得税等一种或多种税种），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供应商应提交的相关资格证明材料包1.docx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社保缴纳凭证</w:t>
            </w:r>
          </w:p>
        </w:tc>
        <w:tc>
          <w:tcPr>
            <w:tcW w:type="dxa" w:w="3322"/>
          </w:tcPr>
          <w:p>
            <w:pPr>
              <w:pStyle w:val="null3"/>
            </w:pPr>
            <w:r>
              <w:rPr>
                <w:rFonts w:ascii="仿宋_GB2312" w:hAnsi="仿宋_GB2312" w:cs="仿宋_GB2312" w:eastAsia="仿宋_GB2312"/>
              </w:rPr>
              <w:t>提供响应文件提交截止时间前近六个月内至少一个月的社会保障资金缴存单据或社保机构开具的社会保险参保缴费情况证明，依法不需要缴纳社会保障资金的单位应提供相关证明材料。供应商需在项目电子化交易系统中按要求上传相应证明文件并进行电子 签章；</w:t>
            </w:r>
          </w:p>
        </w:tc>
        <w:tc>
          <w:tcPr>
            <w:tcW w:type="dxa" w:w="1661"/>
          </w:tcPr>
          <w:p>
            <w:pPr>
              <w:pStyle w:val="null3"/>
            </w:pPr>
            <w:r>
              <w:rPr>
                <w:rFonts w:ascii="仿宋_GB2312" w:hAnsi="仿宋_GB2312" w:cs="仿宋_GB2312" w:eastAsia="仿宋_GB2312"/>
              </w:rPr>
              <w:t>供应商应提交的相关资格证明材料包1.docx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履行合同的能力</w:t>
            </w:r>
          </w:p>
        </w:tc>
        <w:tc>
          <w:tcPr>
            <w:tcW w:type="dxa" w:w="3322"/>
          </w:tcPr>
          <w:p>
            <w:pPr>
              <w:pStyle w:val="null3"/>
            </w:pPr>
            <w:r>
              <w:rPr>
                <w:rFonts w:ascii="仿宋_GB2312" w:hAnsi="仿宋_GB2312" w:cs="仿宋_GB2312" w:eastAsia="仿宋_GB2312"/>
              </w:rPr>
              <w:t>供具有履行本合同所必需的设备和专业技术能力的声明。供应商需在项目电子化交易系统中按要求上传相应证明文件并进行电子签章；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供应商应提交的相关资格证明材料包1.docx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供应商应提交的相关资格证明材料包1.docx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企业信誉截图</w:t>
            </w:r>
          </w:p>
        </w:tc>
        <w:tc>
          <w:tcPr>
            <w:tcW w:type="dxa" w:w="3322"/>
          </w:tcPr>
          <w:p>
            <w:pPr>
              <w:pStyle w:val="null3"/>
            </w:pPr>
            <w:r>
              <w:rPr>
                <w:rFonts w:ascii="仿宋_GB2312" w:hAnsi="仿宋_GB2312" w:cs="仿宋_GB2312" w:eastAsia="仿宋_GB2312"/>
              </w:rPr>
              <w:t>供应商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供应商需提供相关证明资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供应商应提交的相关资格证明材料包1.docx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供应商应提交的相关资格证明材料包1.docx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磋商响应⽂件的签署盖章</w:t>
            </w:r>
          </w:p>
        </w:tc>
        <w:tc>
          <w:tcPr>
            <w:tcW w:type="dxa" w:w="3322"/>
          </w:tcPr>
          <w:p>
            <w:pPr>
              <w:pStyle w:val="null3"/>
            </w:pPr>
            <w:r>
              <w:rPr>
                <w:rFonts w:ascii="仿宋_GB2312" w:hAnsi="仿宋_GB2312" w:cs="仿宋_GB2312" w:eastAsia="仿宋_GB2312"/>
              </w:rPr>
              <w:t>磋商响应⽂件上法定代表⼈或其授权代表⼈的 签字⻬全并加盖公章</w:t>
            </w:r>
          </w:p>
        </w:tc>
        <w:tc>
          <w:tcPr>
            <w:tcW w:type="dxa" w:w="1661"/>
          </w:tcPr>
          <w:p>
            <w:pPr>
              <w:pStyle w:val="null3"/>
            </w:pPr>
            <w:r>
              <w:rPr>
                <w:rFonts w:ascii="仿宋_GB2312" w:hAnsi="仿宋_GB2312" w:cs="仿宋_GB2312" w:eastAsia="仿宋_GB2312"/>
              </w:rPr>
              <w:t>响应文件封面 服务内容及服务邀请应答表 中小企业声明函 商务应答表 标的清单 供应商应提交的相关资格证明材料包1.docx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 且报价不超过采购预算⾦额或最⾼限价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磋商响应⽂件内容</w:t>
            </w:r>
          </w:p>
        </w:tc>
        <w:tc>
          <w:tcPr>
            <w:tcW w:type="dxa" w:w="3322"/>
          </w:tcPr>
          <w:p>
            <w:pPr>
              <w:pStyle w:val="null3"/>
            </w:pPr>
            <w:r>
              <w:rPr>
                <w:rFonts w:ascii="仿宋_GB2312" w:hAnsi="仿宋_GB2312" w:cs="仿宋_GB2312" w:eastAsia="仿宋_GB2312"/>
              </w:rPr>
              <w:t>磋商响应⽂件内容⻬全、⽆遗漏</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应满⾜磋商⽂件中的规定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根据供应商针对本项 目的总体服务方案，至少包含：① 项目实施总体思路以及对本项目的 理解程度；②服务范围；③服务内 容；④服务标准；⑤实施方案；⑥ 人员组织架构及分工；⑦现场协调 管理措施；⑧服务体系建设。 二、 评审标准 1、完整性：内容全面， 对评审内容中的各项要求有详细的 描述及说明； 2、可实施性：切合 本项目实际情况，步骤清晰、合理 ，操作性强； 3、针对性：方案紧 扣项目特点及需求，内容科学合理 。 三、赋分标准：针对每条评审标 准，每存在1处缺陷扣0.5分，扣完 为止（缺陷是指内容不合理、虽有 内容但不完善、内容表述前后不一 致、套用其他项目或与项目需求不 匹配及其他不利于项目实施的等任 意一种情形） ①项目实施总体思路 以及对本项目的理解程度：每完全 满足一个评审标准得1分，满分3分 ； ②服务范围：每完全满足一个评 审标准得1分，满分3分； ③服务内 容：每完全满足一个评审标准得1 分，满分4分； ④服务标准：每完 全满足一个评审标准得1分，满分3 分； ⑤实施方案：每完全满足一个 评审标准得1分，满分5分 ； ⑥人 员组织架构及分工：每完全满足一 个评审标准得 1分，满分3分； ⑦ 现场协调管理措施：每完全满足一 个评审标准得 1分，满分3分； ⑧ 服务体系建设：每完全满足一个评 审标准得 1分，满分3分。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项目重点、难点分析</w:t>
            </w:r>
          </w:p>
        </w:tc>
        <w:tc>
          <w:tcPr>
            <w:tcW w:type="dxa" w:w="2492"/>
          </w:tcPr>
          <w:p>
            <w:pPr>
              <w:pStyle w:val="null3"/>
            </w:pPr>
            <w:r>
              <w:rPr>
                <w:rFonts w:ascii="仿宋_GB2312" w:hAnsi="仿宋_GB2312" w:cs="仿宋_GB2312" w:eastAsia="仿宋_GB2312"/>
              </w:rPr>
              <w:t>一、评审内容 根据供应商针对本项 目编制完善的项目重点、难点分析 ，至少包含：①项目现状分析；② 重点、难点阐述；③ 解决方案。 二、评审标准 1、完整性：内容全 面，对评审内容中的各项要求有详 细的描述及说明； 2、可实施性： 切合本项目实际情况，步骤清晰、 合理，操作性强； 3、针对性：方 案紧扣项目特点及需求，内容科学 合理。 三、赋分标准：针对每条评 审标准，每存在1处缺陷扣0.5分， 扣完为止（缺陷是指内容不合理、 虽有内容但不完善、内容表述前后 不一致、套用其他项目或与项目需 求不匹配及其他不利于项目实施的 等任意一种情形） ①项目现状分析 ：每完全满足一个评审标准得1分 ，满分3分； ②重点、难点阐述： 每完全满足一个评审标准得1分 ，满分3分； ③ 解决方案：每完 全满足一个评审标准得2分，满 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项目进度安排</w:t>
            </w:r>
          </w:p>
        </w:tc>
        <w:tc>
          <w:tcPr>
            <w:tcW w:type="dxa" w:w="2492"/>
          </w:tcPr>
          <w:p>
            <w:pPr>
              <w:pStyle w:val="null3"/>
            </w:pPr>
            <w:r>
              <w:rPr>
                <w:rFonts w:ascii="仿宋_GB2312" w:hAnsi="仿宋_GB2312" w:cs="仿宋_GB2312" w:eastAsia="仿宋_GB2312"/>
              </w:rPr>
              <w:t>一、评审内容 根据供应商针对本项 目编制完善的项目进度安排，至少 包含：①进度目标和进度计划；② 进度保证措施。 二、评审标准 1、 完整性：内容全面，对评审内容中 的各项要求有详细的描述及说明； 2、可实施性：切合本项目实际情 况，步骤清晰、合理，操作性强； 3、针对性：方案紧扣项目特点及 需求，内容科学合理。 三、赋分标 准：针对每条评审标准，每存在1 处缺陷扣0.5分，扣完为止（缺陷 是指内容不合理、虽有内容但不完 善、内容表述前后不一致、套用其 他项目或与项目需求不匹配及其他 不利于项目实施的等任意一种情形 ） ①进度目标和进度计划：每完全 满足一个评审标准得1分，满分3分 ； ②进度保证措施：每完全满足一 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 根据供应商针对本项 目的售后服务承诺，至少包含：① 售后技术服务方案及措施；②成果 保密措施。 二、评审标准 1、完整 性：内容全面，对评审内容中的各 项要求有详细的描述及说明； 2、 可实施性：切合本项目实际情况， 步骤清晰、合理，操作性强； 3、 针对性：方案紧扣项目特点及需求 ，内容科学合理。 三、赋分标准： 针对每条评审标准，每存在1处缺 陷扣0.5分，扣完为止（缺陷是指 内容不合理、虽有内容但不完善、 内容表述前后不一致、套用其他项 目或与项目需求不匹配及其他不利 于项目实施的等任意一种情形） ① 售后技术服务方案及措施：每完全 满足一个评审标准得1分，满分3分 ； ②成果保密措施：每完全满足一 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质量控制及保证措施</w:t>
            </w:r>
          </w:p>
        </w:tc>
        <w:tc>
          <w:tcPr>
            <w:tcW w:type="dxa" w:w="2492"/>
          </w:tcPr>
          <w:p>
            <w:pPr>
              <w:pStyle w:val="null3"/>
            </w:pPr>
            <w:r>
              <w:rPr>
                <w:rFonts w:ascii="仿宋_GB2312" w:hAnsi="仿宋_GB2312" w:cs="仿宋_GB2312" w:eastAsia="仿宋_GB2312"/>
              </w:rPr>
              <w:t>一、评审内容 根据供应商针对本项 目服务过程中的质量控制及保证措 施，至少包括：①技术推进保障措 施；②质量控制体系。 二、评审标 准 1、完整性：内容全面，对评审 内容中的各项要求有详细的描述及 说明； 2、可实施性：切合本项目 实际情况，步骤清晰、合理，操作 性强； 3、针对性：方案紧扣项目 特点及需求，内容科学合理。 三、 赋分标准：针对每条评审标准，每 存在1处缺陷扣0.5分，扣完为止（ 缺陷是指内容不合理、虽有内容但 不完善、内容表述前后不一致、套 用其他项目或与项目需求不匹配及 其他不利于项目实施的等任意一种 情形） ①技术推进保障措施：每完 全满足一个评审标准得1分，满分3 分； ②质量控制体系：每完全满足 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技术设备与工具保障</w:t>
            </w:r>
          </w:p>
        </w:tc>
        <w:tc>
          <w:tcPr>
            <w:tcW w:type="dxa" w:w="2492"/>
          </w:tcPr>
          <w:p>
            <w:pPr>
              <w:pStyle w:val="null3"/>
            </w:pPr>
            <w:r>
              <w:rPr>
                <w:rFonts w:ascii="仿宋_GB2312" w:hAnsi="仿宋_GB2312" w:cs="仿宋_GB2312" w:eastAsia="仿宋_GB2312"/>
              </w:rPr>
              <w:t>一、评审内容 根据供应商针对本项 目的技术设备与工具保障，至少包 含：①硬件设备相关仪器投入计划 安排；②软件投入。 二、评审标准 1、完整性：内容全面，对评审内 容中的各项要求有详细的描述及说 明； 2、可实施性：切合本项目实 际情况，步骤清晰、合理，操作性 强； 3、针对性：方案紧扣项目特 点及需求，内容科学合理。 三、赋 分标准：针对每条评审标准，每存 在1处缺陷扣0.5分，扣完为止（缺 陷是指内容不合理、虽有内容但不 完善、内容表述前后不一致、套用 其他项目或与项目需求不匹配及其 他不利于项目实施的等任意一种情 形） ①硬件设备相关仪器投入计划 安排：每完全满足一个评审标准得 1分，满分2分； ②软件投入：每完 全满足一个评审标准得1分，满分2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突发事件及安全保障方案</w:t>
            </w:r>
          </w:p>
        </w:tc>
        <w:tc>
          <w:tcPr>
            <w:tcW w:type="dxa" w:w="2492"/>
          </w:tcPr>
          <w:p>
            <w:pPr>
              <w:pStyle w:val="null3"/>
            </w:pPr>
            <w:r>
              <w:rPr>
                <w:rFonts w:ascii="仿宋_GB2312" w:hAnsi="仿宋_GB2312" w:cs="仿宋_GB2312" w:eastAsia="仿宋_GB2312"/>
              </w:rPr>
              <w:t>一、评审内容 根据供应商针对本项 目的突发事件及安全保障方案，至 少包含：①应急预案；②安全保障 措施。 二、评审标准 1、完整性： 内容全面，对评审内容中的各项要 求有详细的描述及说明； 2、可实 施性：切合本项目实际情况，步骤 清晰、合理，操作性强； 3、针对 性：方案紧扣项目特点及需求，内 容科学合理。 三、赋分标准：针对 每条评审标准，每存在1处缺陷扣0 .5分，扣完为止（缺陷是指内容不 合理、虽有内容但不完善、内容表 述前后不一致、套用其他项目或与 项目需求不匹配及其他不利于项目 实施的等任意一种情形） ①应急预 案：每完全满足一个评审标准得1 分，满分3分； ②安全保障措施： 每完全满足一个评审标准得1分， 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1.项目负责人具有测绘工程、水利工程或土地规划相关专业高级及以上职称得 3分，本项最高 3 分； 2. 拟为本项目配备的其他人员中（除项目负责人）每增加一名测绘工程、水利工程或土地规划相关专业中级及以上职称得2 分，本项最高 6分； 3. 拟为本项目配备的其他人员中（除项目负责人）具有测绘地理信息涉密人员资格证书、涉密测绘成果或地理信息安全保密岗位培训证书，每提供一个上述证书得 2分，本项满分 6 分。同一人同时具有多个上述证书仅计分一次。</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供应商提供2023年5月1日至今的类似相关业绩，每提供一个业绩得1分，满分得8分。注：以中标通知书或者合同协议书复印件为准，未提供者不得分。本项目为测绘类项目。</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1.经资格性及符合性审查合格的磋商响应文件，其磋商报价为有效磋商报价。 2.满足竞争性磋商文件实质性要求且最后报价最低的供应商的价格为磋商基准价，其价格分为满分10分。 3.磋商报价得分=（磋商基准价/最后磋商报价）×10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详见附件：供应商应提交的相关资格证明材料包1.docx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