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版本号：ZBZB-2026-295320260626001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操场游戏化场地改造项目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ZBZB-2026-2953</w:t>
      </w:r>
      <w:r>
        <w:br/>
      </w:r>
      <w:r>
        <w:br/>
      </w:r>
      <w:r>
        <w:br/>
      </w:r>
    </w:p>
    <w:p>
      <w:pPr>
        <w:pStyle w:val="null3"/>
        <w:jc w:val="center"/>
        <w:outlineLvl w:val="2"/>
      </w:pPr>
      <w:r>
        <w:rPr>
          <w:rFonts w:ascii="仿宋_GB2312" w:hAnsi="仿宋_GB2312" w:cs="仿宋_GB2312" w:eastAsia="仿宋_GB2312"/>
          <w:sz w:val="28"/>
          <w:b/>
        </w:rPr>
        <w:t>西安市雁塔区第二十八幼儿园</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西安市雁塔区第二十八幼儿园</w:t>
      </w:r>
      <w:r>
        <w:rPr>
          <w:rFonts w:ascii="仿宋_GB2312" w:hAnsi="仿宋_GB2312" w:cs="仿宋_GB2312" w:eastAsia="仿宋_GB2312"/>
        </w:rPr>
        <w:t>委托，拟对</w:t>
      </w:r>
      <w:r>
        <w:rPr>
          <w:rFonts w:ascii="仿宋_GB2312" w:hAnsi="仿宋_GB2312" w:cs="仿宋_GB2312" w:eastAsia="仿宋_GB2312"/>
        </w:rPr>
        <w:t>操场游戏化场地改造项目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ZBZB-2026-2953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操场游戏化场地改造项目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西安市雁塔区第二十八幼儿园操场游戏化场地改造项目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采购包1（西安市雁塔区第二十八幼儿园操场游划场地改造项目）：属于专门面向小微企业采购。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证明：具有独立承担民事责任能力的法人、其他组织或自然人，并出具合法有效的统一社会信用代码的营业执照或事业单位法人证书等国家规定的相关证明，自然人参与的提供其身份证明；并进⾏电⼦签章。</w:t>
      </w:r>
    </w:p>
    <w:p>
      <w:pPr>
        <w:pStyle w:val="null3"/>
      </w:pPr>
      <w:r>
        <w:rPr>
          <w:rFonts w:ascii="仿宋_GB2312" w:hAnsi="仿宋_GB2312" w:cs="仿宋_GB2312" w:eastAsia="仿宋_GB2312"/>
        </w:rPr>
        <w:t>2、授权函：法定代表人授权书（附法定代表人身份证复印件）及被授权人身份证（法定代表人直接参加磋商只须提供法定代表人身份证）；并进⾏电⼦签章。</w:t>
      </w:r>
    </w:p>
    <w:p>
      <w:pPr>
        <w:pStyle w:val="null3"/>
      </w:pPr>
      <w:r>
        <w:rPr>
          <w:rFonts w:ascii="仿宋_GB2312" w:hAnsi="仿宋_GB2312" w:cs="仿宋_GB2312" w:eastAsia="仿宋_GB2312"/>
        </w:rPr>
        <w:t>3、财务状况：提供2024年度或2025年度经审计的财务审计报告（成立时间至提交磋商响应文件截止时间不足一年的可提供成立后任意时段的资产负债表），或其开标前六个月内基本存款账户开户银行出具的资信证明；并进⾏电⼦签章。</w:t>
      </w:r>
    </w:p>
    <w:p>
      <w:pPr>
        <w:pStyle w:val="null3"/>
      </w:pPr>
      <w:r>
        <w:rPr>
          <w:rFonts w:ascii="仿宋_GB2312" w:hAnsi="仿宋_GB2312" w:cs="仿宋_GB2312" w:eastAsia="仿宋_GB2312"/>
        </w:rPr>
        <w:t>4、完税证明：提供2025年6月至今已缴纳的至少三个月的纳税证明或完税证明，依法免税的单位应提供相关证明材料；并进⾏电⼦签章。</w:t>
      </w:r>
    </w:p>
    <w:p>
      <w:pPr>
        <w:pStyle w:val="null3"/>
      </w:pPr>
      <w:r>
        <w:rPr>
          <w:rFonts w:ascii="仿宋_GB2312" w:hAnsi="仿宋_GB2312" w:cs="仿宋_GB2312" w:eastAsia="仿宋_GB2312"/>
        </w:rPr>
        <w:t>5、社保缴纳情况：提供2025年6月至今已缴纳的至少三个月的社会保障资金缴存单据或社保机构开具的社会保险参保缴费情况证明，依法不需要缴纳社会保障资金的单位应提供相关证明材料；并进⾏电⼦签章。</w:t>
      </w:r>
    </w:p>
    <w:p>
      <w:pPr>
        <w:pStyle w:val="null3"/>
      </w:pPr>
      <w:r>
        <w:rPr>
          <w:rFonts w:ascii="仿宋_GB2312" w:hAnsi="仿宋_GB2312" w:cs="仿宋_GB2312" w:eastAsia="仿宋_GB2312"/>
        </w:rPr>
        <w:t>6、没有重大违法记录声明：参加本次政府采购活动前三年内，在经营活动中没有重大违法记录声明；并进⾏电⼦签章。</w:t>
      </w:r>
    </w:p>
    <w:p>
      <w:pPr>
        <w:pStyle w:val="null3"/>
      </w:pPr>
      <w:r>
        <w:rPr>
          <w:rFonts w:ascii="仿宋_GB2312" w:hAnsi="仿宋_GB2312" w:cs="仿宋_GB2312" w:eastAsia="仿宋_GB2312"/>
        </w:rPr>
        <w:t>7、所必需的设备和专业技术能力的承诺函：提供具有履行合同所必需的设备和专业技术能力的承诺函（格式自拟）；并进⾏电⼦签章。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9、资质：供应商须具备建设行政主管部门核发的建筑装修装饰工程专业承包二级及以上(含二级)资质或建筑工程施工总承包三级（含三级）及以上资质，并且具备有效的安全生产许可证。并进⾏电⼦签章。</w:t>
      </w:r>
    </w:p>
    <w:p>
      <w:pPr>
        <w:pStyle w:val="null3"/>
      </w:pPr>
      <w:r>
        <w:rPr>
          <w:rFonts w:ascii="仿宋_GB2312" w:hAnsi="仿宋_GB2312" w:cs="仿宋_GB2312" w:eastAsia="仿宋_GB2312"/>
        </w:rPr>
        <w:t>10、拟派项目经理：拟派项目经理须具备建筑工程专业注册二级（含二级）及以上注册建造师执业资格证，提供有效的安全生产考核B证，在本单位注册且无在建证明（提供无在建项目承诺书）。并进⾏电⼦签章。</w:t>
      </w:r>
    </w:p>
    <w:p>
      <w:pPr>
        <w:pStyle w:val="null3"/>
      </w:pPr>
      <w:r>
        <w:rPr>
          <w:rFonts w:ascii="仿宋_GB2312" w:hAnsi="仿宋_GB2312" w:cs="仿宋_GB2312" w:eastAsia="仿宋_GB2312"/>
        </w:rPr>
        <w:t>11、控股关系：供应商负责人为同一人或者存在直接控股、管理关系的不同供应商，不得同时参加本项目磋商，提供承诺书；并进⾏电⼦签章。</w:t>
      </w:r>
    </w:p>
    <w:p>
      <w:pPr>
        <w:pStyle w:val="null3"/>
      </w:pPr>
      <w:r>
        <w:rPr>
          <w:rFonts w:ascii="仿宋_GB2312" w:hAnsi="仿宋_GB2312" w:cs="仿宋_GB2312" w:eastAsia="仿宋_GB2312"/>
        </w:rPr>
        <w:t>12、中⼩企业声明函：本项⽬专⻔⾯向小微企业采购，提供小微企业声明函。并进⾏电⼦签章。</w:t>
      </w:r>
    </w:p>
    <w:p>
      <w:pPr>
        <w:pStyle w:val="null3"/>
      </w:pPr>
      <w:r>
        <w:rPr>
          <w:rFonts w:ascii="仿宋_GB2312" w:hAnsi="仿宋_GB2312" w:cs="仿宋_GB2312" w:eastAsia="仿宋_GB2312"/>
        </w:rPr>
        <w:t>13、不允许联合体投标：本项目不允许联合体投标。并进⾏电⼦签章。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西安市雁塔区岳旗寨安置小区东侧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13474011348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 69 号长丰园三区 5 号楼 9 层 9006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代理服务费收费标准：参照国家发展和改⾰委员会办公厅发改办价格【2003】857号⽂的规定 ，经协商由中标⼈按国家发展和改⾰委员发改价格【2011】534号⽂规定取费标准向采购代理 机构⽀付招标代理服务费（包含“招标代理费、会务费（如有）”），如本项⽬各包服务费不⾜伍仟元则供应商按伍仟元⽀付服务费。 缴费渠道名称：陕西正邦招标有限责任公司 开⼾⾏： 平安银⾏股西安分⾏营业部/平安银⾏西安分⾏ 账 号：30205380002115 备注：请注明费⽤ 信息“ZBZB-2026-2953 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西安市雁塔区第二十八幼儿园</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西安市雁塔区第二十八幼儿园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西安市雁塔区第二十八幼儿园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731,000.00</w:t>
      </w:r>
    </w:p>
    <w:p>
      <w:pPr>
        <w:pStyle w:val="null3"/>
      </w:pPr>
      <w:r>
        <w:rPr>
          <w:rFonts w:ascii="仿宋_GB2312" w:hAnsi="仿宋_GB2312" w:cs="仿宋_GB2312" w:eastAsia="仿宋_GB2312"/>
        </w:rPr>
        <w:t>采购包最高限价（元）: 730,991.87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采购品目：西安市雁塔区第二十八幼儿园操场游戏化场地改造工程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标的名称：采购品目：西安市雁塔区第二十八幼儿园操场游戏化场地改造工程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1.工期：45日历天</w:t>
            </w:r>
          </w:p>
          <w:p>
            <w:pPr>
              <w:pStyle w:val="null3"/>
            </w:pPr>
            <w:r>
              <w:rPr>
                <w:rFonts w:ascii="仿宋_GB2312" w:hAnsi="仿宋_GB2312" w:cs="仿宋_GB2312" w:eastAsia="仿宋_GB2312"/>
              </w:rPr>
              <w:t>2.工程量清单：详见附件</w:t>
            </w:r>
          </w:p>
          <w:p>
            <w:pPr>
              <w:pStyle w:val="null3"/>
            </w:pPr>
            <w:r>
              <w:rPr>
                <w:rFonts w:ascii="仿宋_GB2312" w:hAnsi="仿宋_GB2312" w:cs="仿宋_GB2312" w:eastAsia="仿宋_GB2312"/>
              </w:rPr>
              <w:t>3.工程质量、质保期：本工程质量等级为符合国家验收相关标准，并达到合格标准。质保期：按照国家相关标准执行。</w:t>
            </w:r>
          </w:p>
          <w:p>
            <w:pPr>
              <w:pStyle w:val="null3"/>
            </w:pPr>
            <w:r>
              <w:rPr>
                <w:rFonts w:ascii="仿宋_GB2312" w:hAnsi="仿宋_GB2312" w:cs="仿宋_GB2312" w:eastAsia="仿宋_GB2312"/>
              </w:rPr>
              <w:t>4.施工要求</w:t>
            </w:r>
            <w:r>
              <w:rPr>
                <w:rFonts w:ascii="仿宋_GB2312" w:hAnsi="仿宋_GB2312" w:cs="仿宋_GB2312" w:eastAsia="仿宋_GB2312"/>
              </w:rPr>
              <w:t>:在施工期间，中标供应商必须注意院内人员安全，加强安全措施，并对施工人员进行安全教育。施工人员必须持证上岗。因采购人工作的特殊性，要求中标供应商在施工中做到封闭性施工。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2133632860@qq.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授权函</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法定代表人授权书（附法定代表人身份证复印件）及被授权人身份证（法定代表人直接参加磋商只须提供法定代表人身份证）；并进⾏电⼦签章。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审计报告（成立时间至提交磋商响应文件截止时间不足一年的可提供成立后任意时段的资产负债表），或其开标前六个月内基本存款账户开户银行出具的资信证明；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提供2025年6月至今已缴纳的至少三个月的纳税证明或完税证明，依法免税的单位应提供相关证明材料；并进⾏电⼦签章。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提供2025年6月至今已缴纳的至少三个月的社会保障资金缴存单据或社保机构开具的社会保险参保缴费情况证明，依法不需要缴纳社会保障资金的单位应提供相关证明材料；并进⾏电⼦签章。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参加本次政府采购活动前三年内，在经营活动中没有重大违法记录声明；并进⾏电⼦签章。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提供具有履行合同所必需的设备和专业技术能力的承诺函（格式自拟）；并进⾏电⼦签章。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供应商须具备建设行政主管部门核发的建筑装修装饰工程专业承包二级及以上(含二级)资质或建筑工程施工总承包三级（含三级）及以上资质，并且具备有效的安全生产许可证。并进⾏电⼦签章。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拟派项目经理须具备建筑工程专业注册二级（含二级）及以上注册建造师执业资格证，提供有效的安全生产考核B证，在本单位注册且无在建证明（提供无在建项目承诺书）。并进⾏电⼦签章。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供应商负责人为同一人或者存在直接控股、管理关系的不同供应商，不得同时参加本项目磋商，提供承诺书；并进⾏电⼦签章。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本项⽬专⻔⾯向小微企业采购，提供小微企业声明函。并进⾏电⼦签章。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本项目不允许联合体投标。并进⾏电⼦签章。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 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方案缺漏项或只有标题没有实质性内容的扣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评审内容：①确保安全生产的技术组织措施②应急预案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评审标准：以上内容切合本项目实际情况及实施要求，内容与要点相符、每个要点均有展开详细的阐述且能够适用于本项目的得5分；评审内容任意一项缺项扣2.5分； 评审内容有缺陷（缺陷是指：劳动力计划安排不合理、主要材料供应计划不满足项目需求、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未提供施工机械设备配备计划不得分。评审内容有缺陷（缺陷是指：施工机械设备配备不合理、施工机械配备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4分；未提供措施方案不得分。评审内容有缺陷（缺陷是指：措施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评审标准：以上内容切合本项目实际情况及实施要求，内容与要点相符、每个要点均有展开详细的阐述且能够适用于本项目的得6分；评审内容任意一项缺项扣3分； 评审内容有缺陷（缺陷是指：进度计划安排不合理、措施内容简单、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4分；未提供措施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4分；未提供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评审标准：以上内容与要点相符、每个要点均有展开详细的阐述且能够适用于本项目的得5分； 评审内容任意一项缺项扣2.5分；评审内容有缺陷（缺陷是指：内容简单、与项目特点不匹配、套用其他项目相关内容或存在不适用项目实际情况的情形）评审内容出现以上任一情形扣0.5分，扣完为止。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供应商2023年6月以来类似项目业绩；每提供1份计2分，最高得6分。业绩证明（以合同或中标/成交通知书为准，须在磋商响应文件中附以上证明材料的扫描件加盖单位公章）。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