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2CAA9E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tbl>
      <w:tblPr>
        <w:tblStyle w:val="2"/>
        <w:tblW w:w="5000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11E1D3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FDFD082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一、采购清单</w:t>
            </w:r>
          </w:p>
          <w:tbl>
            <w:tblPr>
              <w:tblStyle w:val="2"/>
              <w:tblW w:w="4999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720"/>
              <w:gridCol w:w="1582"/>
              <w:gridCol w:w="3002"/>
            </w:tblGrid>
            <w:tr w14:paraId="7B88D3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23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E0258B">
                  <w:pPr>
                    <w:jc w:val="center"/>
                    <w:rPr>
                      <w:rFonts w:hint="eastAsia" w:ascii="Calibri" w:hAnsi="Calibri" w:eastAsia="宋体" w:cs="Times New Roman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sz w:val="24"/>
                      <w:lang w:val="en-US" w:eastAsia="zh-Hans"/>
                    </w:rPr>
                    <w:t>设备名称</w:t>
                  </w:r>
                </w:p>
              </w:tc>
              <w:tc>
                <w:tcPr>
                  <w:tcW w:w="952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F7CBE5">
                  <w:pPr>
                    <w:jc w:val="center"/>
                    <w:rPr>
                      <w:rFonts w:hint="eastAsia" w:ascii="Calibri" w:hAnsi="Calibri" w:eastAsia="宋体" w:cs="Times New Roman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sz w:val="24"/>
                      <w:lang w:val="en-US" w:eastAsia="zh-Hans"/>
                    </w:rPr>
                    <w:t>数量</w:t>
                  </w:r>
                </w:p>
              </w:tc>
              <w:tc>
                <w:tcPr>
                  <w:tcW w:w="1807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03987">
                  <w:pPr>
                    <w:jc w:val="center"/>
                    <w:rPr>
                      <w:rFonts w:hint="eastAsia" w:ascii="Calibri" w:hAnsi="Calibri" w:eastAsia="宋体" w:cs="Times New Roman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sz w:val="24"/>
                      <w:lang w:val="en-US" w:eastAsia="zh-Hans"/>
                    </w:rPr>
                    <w:t>备注</w:t>
                  </w:r>
                </w:p>
              </w:tc>
            </w:tr>
            <w:tr w14:paraId="385ADA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23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AFD379">
                  <w:pPr>
                    <w:jc w:val="center"/>
                    <w:rPr>
                      <w:rFonts w:hint="eastAsia" w:ascii="Calibri" w:hAnsi="Calibri" w:eastAsia="宋体" w:cs="Times New Roman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z w:val="24"/>
                      <w:lang w:val="en-US" w:eastAsia="zh-Hans"/>
                    </w:rPr>
                    <w:t>真密度分析仪</w:t>
                  </w:r>
                </w:p>
              </w:tc>
              <w:tc>
                <w:tcPr>
                  <w:tcW w:w="9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C3050">
                  <w:pPr>
                    <w:jc w:val="center"/>
                    <w:rPr>
                      <w:rFonts w:hint="eastAsia" w:ascii="Calibri" w:hAnsi="Calibri" w:eastAsia="宋体" w:cs="Times New Roman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z w:val="24"/>
                      <w:lang w:val="en-US" w:eastAsia="zh-Hans"/>
                    </w:rPr>
                    <w:t>1套</w:t>
                  </w:r>
                </w:p>
              </w:tc>
              <w:tc>
                <w:tcPr>
                  <w:tcW w:w="180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8E04BF">
                  <w:pPr>
                    <w:jc w:val="center"/>
                    <w:rPr>
                      <w:rFonts w:hint="eastAsia" w:ascii="Calibri" w:hAnsi="Calibri" w:eastAsia="宋体" w:cs="Times New Roman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z w:val="24"/>
                      <w:lang w:val="en-US" w:eastAsia="zh-Hans"/>
                    </w:rPr>
                    <w:t>核心产品</w:t>
                  </w:r>
                </w:p>
              </w:tc>
            </w:tr>
            <w:tr w14:paraId="6C745FD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23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A279E8">
                  <w:pPr>
                    <w:jc w:val="center"/>
                    <w:rPr>
                      <w:rFonts w:hint="eastAsia" w:ascii="Calibri" w:hAnsi="Calibri" w:eastAsia="宋体" w:cs="Times New Roman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z w:val="24"/>
                      <w:lang w:val="en-US" w:eastAsia="zh-Hans"/>
                    </w:rPr>
                    <w:t>全自动工业分析仪</w:t>
                  </w:r>
                </w:p>
              </w:tc>
              <w:tc>
                <w:tcPr>
                  <w:tcW w:w="95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C80D9">
                  <w:pPr>
                    <w:jc w:val="center"/>
                    <w:rPr>
                      <w:rFonts w:hint="eastAsia" w:ascii="Calibri" w:hAnsi="Calibri" w:eastAsia="宋体" w:cs="Times New Roman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z w:val="24"/>
                      <w:lang w:val="en-US" w:eastAsia="zh-Hans"/>
                    </w:rPr>
                    <w:t>1套</w:t>
                  </w:r>
                </w:p>
              </w:tc>
              <w:tc>
                <w:tcPr>
                  <w:tcW w:w="180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73F421">
                  <w:pPr>
                    <w:jc w:val="center"/>
                    <w:rPr>
                      <w:rFonts w:hint="eastAsia" w:ascii="Calibri" w:hAnsi="Calibri" w:eastAsia="宋体" w:cs="Times New Roman"/>
                      <w:lang w:val="en-US" w:eastAsia="zh-Hans"/>
                    </w:rPr>
                  </w:pPr>
                </w:p>
              </w:tc>
            </w:tr>
          </w:tbl>
          <w:p w14:paraId="5D49838F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二、参数要求</w:t>
            </w:r>
          </w:p>
          <w:p w14:paraId="15C9A6FA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（一）真密度分析仪</w:t>
            </w:r>
          </w:p>
          <w:p w14:paraId="2DAB60B9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1.测试内容：密度(对无闭孔材料，如金属、液体等)；孔隙率(对块状材料，如发泡材料、岩心、金属元件等)。</w:t>
            </w:r>
          </w:p>
          <w:p w14:paraId="66526E67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2.▲测试精度：精确度≤0.03%，重复性精度≤0.02%，分辨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率：0.0001g/ml。</w:t>
            </w:r>
          </w:p>
          <w:p w14:paraId="036EA3BF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3.测试速度：可同时测试两个样品，也可在一个样品测试时，再开始另外一个样品测试，测试过程互不干扰，且1-2min完成整个测试过程。</w:t>
            </w:r>
          </w:p>
          <w:p w14:paraId="2BF6AAC6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4.适用范围：样品密度大小不受限制，可以测定各种粉末状、颗粒状、块状、泡沫状等的固体样品，以及浆状物质、不挥发的液体等样品的真密度；发泡材料、金属材料等物质的开闭孔率；</w:t>
            </w:r>
          </w:p>
          <w:p w14:paraId="56BFC64D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5.▲测试方式: 采用下装式的装样方式，以样品池直接作为样品测试腔；“下装卡口式”的样品池，可以满足10mL到2L装样量的需求。</w:t>
            </w:r>
          </w:p>
          <w:p w14:paraId="68B2EFDA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6.样品池：10mL～2000ml，同时能满足其他内方样品池（2.5cm×2.5cm×5.0cm）及其他不同规格样品池</w:t>
            </w:r>
          </w:p>
          <w:p w14:paraId="1C360DFE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7.压力范围：7×10</w:t>
            </w:r>
            <w:r>
              <w:rPr>
                <w:rFonts w:hint="eastAsia" w:ascii="仿宋_GB2312" w:hAnsi="仿宋_GB2312" w:eastAsia="仿宋_GB2312" w:cs="仿宋_GB2312"/>
                <w:sz w:val="24"/>
                <w:vertAlign w:val="superscript"/>
                <w:lang w:val="en-US" w:eastAsia="zh-Hans"/>
              </w:rPr>
              <w:t>-7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～2</w:t>
            </w: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bar，可调节，精度优于0.01%FS。</w:t>
            </w:r>
          </w:p>
          <w:p w14:paraId="113FCD07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8.具有负压预处理功能，处理时间≤10min。</w:t>
            </w:r>
          </w:p>
          <w:p w14:paraId="71D38C8A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9.仪器配件：阀门及压力传感器。</w:t>
            </w:r>
          </w:p>
          <w:p w14:paraId="1213D367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（二）全自动工业分析仪</w:t>
            </w:r>
          </w:p>
          <w:p w14:paraId="16F0F434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1.测试时间：经典法：180分钟19个样；快速法：120分钟19个样</w:t>
            </w:r>
          </w:p>
          <w:p w14:paraId="0918C009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2.测试内容：水分、灰分和挥发分</w:t>
            </w:r>
          </w:p>
          <w:p w14:paraId="02E60860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3.适应标准</w:t>
            </w:r>
          </w:p>
          <w:p w14:paraId="64F046AA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GB/T212-2008《煤的工业分析方法》</w:t>
            </w:r>
          </w:p>
          <w:p w14:paraId="17C7A0B3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ASTMD7582-2012《煤和焦炭工业分析标准测试方法 热重法》</w:t>
            </w:r>
          </w:p>
          <w:p w14:paraId="4651ED14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GB/T30729-2014《煤的工业分析方法 仪器法》</w:t>
            </w:r>
          </w:p>
          <w:p w14:paraId="5226A66B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GB/T28731-2012《固体生物质燃料工业分析方法》</w:t>
            </w:r>
          </w:p>
          <w:p w14:paraId="2368930F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4.应用领域：煤、焦炭、生物质燃料</w:t>
            </w:r>
          </w:p>
          <w:p w14:paraId="479A1465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5.▲控制方式：控制模块方式，实时监控仪器状态，保存仪器参数，试验过程独立完成，无需上位机干预，实现脱机运行、仪器自诊断提醒；</w:t>
            </w:r>
          </w:p>
          <w:p w14:paraId="4BAFCB13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6.称量方式：内置万分之一天平，量程为0-200g，内置显示屏，实时显示称量数值</w:t>
            </w:r>
          </w:p>
          <w:p w14:paraId="36E2AF87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7.送样方式：入口线性滑轨垂直送样</w:t>
            </w:r>
          </w:p>
          <w:p w14:paraId="47CD7924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8.▲炉膛结构：双炉组合：可单独测试水分灰分、单独测试挥发分</w:t>
            </w:r>
          </w:p>
          <w:p w14:paraId="5AA56923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9.开盖方式：电子液压杆，无需气源及空气泵</w:t>
            </w:r>
          </w:p>
          <w:p w14:paraId="101D09A2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10.控温范围：室温～1050℃，采用炉膛内置电炉丝加热，升温速度为≥15℃/min</w:t>
            </w:r>
          </w:p>
          <w:p w14:paraId="30642761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11.控温精度：±2℃</w:t>
            </w:r>
          </w:p>
          <w:p w14:paraId="542EAA14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12.电源：（220±22）V/（50～60）Hz</w:t>
            </w:r>
          </w:p>
          <w:p w14:paraId="081E9700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13.配有陶瓷转盘、陶瓷转轴、陶瓷送样杆、陶瓷称杆</w:t>
            </w:r>
          </w:p>
          <w:p w14:paraId="14BC5E1B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14.设有恒温室。</w:t>
            </w:r>
          </w:p>
          <w:p w14:paraId="406FDD65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二、其他要求</w:t>
            </w:r>
          </w:p>
          <w:p w14:paraId="1850EC42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提供设备现场安装、系统调试及人员操作培训。成交供应商需对实验人员进行不少于2次现场操作培训。</w:t>
            </w:r>
          </w:p>
          <w:p w14:paraId="696F9541">
            <w:pPr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 xml:space="preserve"> </w:t>
            </w:r>
          </w:p>
        </w:tc>
      </w:tr>
    </w:tbl>
    <w:p w14:paraId="6272A9CD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7A2C10"/>
    <w:rsid w:val="23D944C9"/>
    <w:rsid w:val="6A7A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1018</Words>
  <Characters>1182</Characters>
  <Lines>0</Lines>
  <Paragraphs>0</Paragraphs>
  <TotalTime>0</TotalTime>
  <ScaleCrop>false</ScaleCrop>
  <LinksUpToDate>false</LinksUpToDate>
  <CharactersWithSpaces>1188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2026-08-13T09:39:00Z</dcterms:created>
  <dc:creator>.L</dc:creator>
  <cp:lastModifiedBy>.L</cp:lastModifiedBy>
  <dcterms:modified xsi:type="dcterms:W3CDTF">2026-08-13T09:50:18Z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41A3E3A23C9746A7857E5E7400E5ADC8_11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