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版本号：SXDZZ（2026）186号20260729001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机关幼儿园户外活动场地维修改造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SXDZZ（2026）186号</w:t>
      </w:r>
      <w:r>
        <w:br/>
      </w:r>
      <w:r>
        <w:br/>
      </w:r>
      <w:r>
        <w:br/>
      </w:r>
    </w:p>
    <w:p>
      <w:pPr>
        <w:pStyle w:val="null3"/>
        <w:jc w:val="center"/>
        <w:outlineLvl w:val="2"/>
      </w:pPr>
      <w:r>
        <w:rPr>
          <w:rFonts w:ascii="仿宋_GB2312" w:hAnsi="仿宋_GB2312" w:cs="仿宋_GB2312" w:eastAsia="仿宋_GB2312"/>
          <w:sz w:val="28"/>
          <w:b/>
        </w:rPr>
        <w:t>咸阳市机关幼儿园</w:t>
      </w:r>
    </w:p>
    <w:p>
      <w:pPr>
        <w:pStyle w:val="null3"/>
        <w:jc w:val="center"/>
        <w:outlineLvl w:val="2"/>
      </w:pPr>
      <w:r>
        <w:rPr>
          <w:rFonts w:ascii="仿宋_GB2312" w:hAnsi="仿宋_GB2312" w:cs="仿宋_GB2312" w:eastAsia="仿宋_GB2312"/>
          <w:sz w:val="28"/>
          <w:b/>
        </w:rPr>
        <w:t>陕西德正建设工程项目管理有限公司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陕西德正建设工程项目管理有限公司</w:t>
      </w:r>
      <w:r>
        <w:rPr>
          <w:rFonts w:ascii="仿宋_GB2312" w:hAnsi="仿宋_GB2312" w:cs="仿宋_GB2312" w:eastAsia="仿宋_GB2312"/>
        </w:rPr>
        <w:t>（以下简称“代理机构”）受</w:t>
      </w:r>
      <w:r>
        <w:rPr>
          <w:rFonts w:ascii="仿宋_GB2312" w:hAnsi="仿宋_GB2312" w:cs="仿宋_GB2312" w:eastAsia="仿宋_GB2312"/>
        </w:rPr>
        <w:t>咸阳市机关幼儿园</w:t>
      </w:r>
      <w:r>
        <w:rPr>
          <w:rFonts w:ascii="仿宋_GB2312" w:hAnsi="仿宋_GB2312" w:cs="仿宋_GB2312" w:eastAsia="仿宋_GB2312"/>
        </w:rPr>
        <w:t>委托，拟对</w:t>
      </w:r>
      <w:r>
        <w:rPr>
          <w:rFonts w:ascii="仿宋_GB2312" w:hAnsi="仿宋_GB2312" w:cs="仿宋_GB2312" w:eastAsia="仿宋_GB2312"/>
        </w:rPr>
        <w:t>机关幼儿园户外活动场地维修改造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SXDZZ（2026）186号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机关幼儿园户外活动场地维修改造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咸阳市机关幼儿园始建于1986年，距今有39年历史，户外场地多年受雨水冲刷、幼儿日常活动磨损，多处出现塌陷、空鼓、积水等问题，部分区域破碎后形成凸起障碍物，不仅影响日常户外活动开展，还存在一定的安全隐患，故申请改造维修机关幼儿园户外活动场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采购包1（机关幼儿园户外活动场地维修改造）：属于专门面向中小企业采购。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1、营业执照等主体资格证明文件：供应商应具有独立承担民事责任能力的法人或其他组织或自然人（法人或其他组织提供营业执照或事业单位法人证书等国家规定的相关证明，自然人提供身份证件）；</w:t>
      </w:r>
    </w:p>
    <w:p>
      <w:pPr>
        <w:pStyle w:val="null3"/>
      </w:pPr>
      <w:r>
        <w:rPr>
          <w:rFonts w:ascii="仿宋_GB2312" w:hAnsi="仿宋_GB2312" w:cs="仿宋_GB2312" w:eastAsia="仿宋_GB2312"/>
        </w:rPr>
        <w:t>2、供应商身份证明文件：法定代表人直接参加磋商的，须出具法定代表人身份证明书（含法人身份证复印件）；法定代表人授权代表参加磋商的，须出具法定代表人授权书（附法定代表人身份证复印件及被授权人身份证复印件）；</w:t>
      </w:r>
    </w:p>
    <w:p>
      <w:pPr>
        <w:pStyle w:val="null3"/>
      </w:pPr>
      <w:r>
        <w:rPr>
          <w:rFonts w:ascii="仿宋_GB2312" w:hAnsi="仿宋_GB2312" w:cs="仿宋_GB2312" w:eastAsia="仿宋_GB2312"/>
        </w:rPr>
        <w:t>3、企业资质：供应商须具备建设行政主管部门颁发的建筑工程施工总承包二级（含二级）以上资质，具有有效的安全生产许可证；</w:t>
      </w:r>
    </w:p>
    <w:p>
      <w:pPr>
        <w:pStyle w:val="null3"/>
      </w:pPr>
      <w:r>
        <w:rPr>
          <w:rFonts w:ascii="仿宋_GB2312" w:hAnsi="仿宋_GB2312" w:cs="仿宋_GB2312" w:eastAsia="仿宋_GB2312"/>
        </w:rPr>
        <w:t>4、拟派项目负责人：拟派项目负责人须具备建筑工程专业二级（含二级）以上注册建造师资格及有效的安全生产考核合格证，且无在建项目；</w:t>
      </w:r>
    </w:p>
    <w:p>
      <w:pPr>
        <w:pStyle w:val="null3"/>
      </w:pPr>
      <w:r>
        <w:rPr>
          <w:rFonts w:ascii="仿宋_GB2312" w:hAnsi="仿宋_GB2312" w:cs="仿宋_GB2312" w:eastAsia="仿宋_GB2312"/>
        </w:rPr>
        <w:t>5、书面声明：出具参加本次采购活动前三年内在经营活动中没有重大违法记录的书面声明；</w:t>
      </w:r>
    </w:p>
    <w:p>
      <w:pPr>
        <w:pStyle w:val="null3"/>
      </w:pPr>
      <w:r>
        <w:rPr>
          <w:rFonts w:ascii="仿宋_GB2312" w:hAnsi="仿宋_GB2312" w:cs="仿宋_GB2312" w:eastAsia="仿宋_GB2312"/>
        </w:rPr>
        <w:t>6、设备和专业技术能⼒的承诺：供应商须提供具有履行合同所必需的设备和专业技术能力的承诺；</w:t>
      </w:r>
    </w:p>
    <w:p>
      <w:pPr>
        <w:pStyle w:val="null3"/>
      </w:pPr>
      <w:r>
        <w:rPr>
          <w:rFonts w:ascii="仿宋_GB2312" w:hAnsi="仿宋_GB2312" w:cs="仿宋_GB2312" w:eastAsia="仿宋_GB2312"/>
        </w:rPr>
        <w:t>7、财务状况报告：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8、社会保障资金缴纳证明：提供响应文件提交截止时间前6个月内任意一个月已缴纳的社会保障资金缴存单据或社保机构开具的社会保险参保缴费情况证明，依法不需要缴纳社会保障资金的应提供相关文件证明；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9、税收缴纳证明：提供响应文件提交截止时间前6个月内任意一个月已缴纳的完税凭证或税务机关开具的完税证明（任意税种），依法免税的应提供相关文件证明；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10、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咸阳市机关幼儿园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咸阳市友谊路中段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咸阳市机关幼儿园经办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13891069624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陕西德正建设工程项目管理有限公司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陕西省咸阳市秦都区陕西省咸阳市秦都区人民西路金方圆广场Ｂ座20层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15709202966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采购包1：989,973.48元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 通知》（发改办价格〔2003〕857 号）文件规定，以成交价为基数，按照工程类招标计算收取代理服务费；成交单位在领取成交通知书前，须向采购代理机构一次性支付招标代理服务费；代理服务费以转账、电汇或现金等形式交纳；中标（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咸阳市机关幼儿园</w:t>
      </w:r>
      <w:r>
        <w:rPr>
          <w:rFonts w:ascii="仿宋_GB2312" w:hAnsi="仿宋_GB2312" w:cs="仿宋_GB2312" w:eastAsia="仿宋_GB2312"/>
        </w:rPr>
        <w:t>和</w:t>
      </w:r>
      <w:r>
        <w:rPr>
          <w:rFonts w:ascii="仿宋_GB2312" w:hAnsi="仿宋_GB2312" w:cs="仿宋_GB2312" w:eastAsia="仿宋_GB2312"/>
        </w:rPr>
        <w:t>陕西德正建设工程项目管理有限公司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咸阳市机关幼儿园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陕西德正建设工程项目管理有限公司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咸阳市机关幼儿园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陕西德正建设工程项目管理有限公司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全面履约原则：成交供应商须100%完成采购需求、图纸、合同及投标承诺全部内容，无缺项、漏项、降标、减量。 2. 质量达标原则：所有技术指标、安全指标、环保指标必须达到国家强制标准，不合格项目必须无偿整改、返工、复测。 3. 资料齐全原则：所有竣工资料、检测资料、质保资料完整、真实、有效、可追溯。 4. 闭环整改原则：存在问题必须限期整改到位，复验合格后方可验收通过。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联系人：郭豪</w:t>
      </w:r>
    </w:p>
    <w:p>
      <w:pPr>
        <w:pStyle w:val="null3"/>
      </w:pPr>
      <w:r>
        <w:rPr>
          <w:rFonts w:ascii="仿宋_GB2312" w:hAnsi="仿宋_GB2312" w:cs="仿宋_GB2312" w:eastAsia="仿宋_GB2312"/>
        </w:rPr>
        <w:t>联系电话：15709202966</w:t>
      </w:r>
    </w:p>
    <w:p>
      <w:pPr>
        <w:pStyle w:val="null3"/>
      </w:pPr>
      <w:r>
        <w:rPr>
          <w:rFonts w:ascii="仿宋_GB2312" w:hAnsi="仿宋_GB2312" w:cs="仿宋_GB2312" w:eastAsia="仿宋_GB2312"/>
        </w:rPr>
        <w:t>地址：陕西省咸阳市秦都区人民西路金方圆广场Ｂ座20层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989,973.48</w:t>
      </w:r>
    </w:p>
    <w:p>
      <w:pPr>
        <w:pStyle w:val="null3"/>
      </w:pPr>
      <w:r>
        <w:rPr>
          <w:rFonts w:ascii="仿宋_GB2312" w:hAnsi="仿宋_GB2312" w:cs="仿宋_GB2312" w:eastAsia="仿宋_GB2312"/>
        </w:rPr>
        <w:t>采购包最高限价（元）: 989,973.48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地面维修改造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989,973.48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标的名称：地面维修改造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36"/>
                <w:b/>
              </w:rPr>
              <w:t>一、总体执行标准</w:t>
            </w:r>
          </w:p>
          <w:p>
            <w:pPr>
              <w:pStyle w:val="null3"/>
              <w:numPr>
                <w:ilvl w:val="0"/>
                <w:numId w:val="1"/>
              </w:numPr>
            </w:pPr>
            <w:r>
              <w:rPr>
                <w:rFonts w:ascii="仿宋_GB2312" w:hAnsi="仿宋_GB2312" w:cs="仿宋_GB2312" w:eastAsia="仿宋_GB2312"/>
                <w:b/>
              </w:rPr>
              <w:t>GB 36246-2018《中小学合成材料面层运动场地》（强制性国标，本项目核心依据）</w:t>
            </w:r>
          </w:p>
          <w:p>
            <w:pPr>
              <w:pStyle w:val="null3"/>
              <w:numPr>
                <w:ilvl w:val="0"/>
                <w:numId w:val="1"/>
              </w:numPr>
            </w:pPr>
            <w:r>
              <w:rPr>
                <w:rFonts w:ascii="仿宋_GB2312" w:hAnsi="仿宋_GB2312" w:cs="仿宋_GB2312" w:eastAsia="仿宋_GB2312"/>
              </w:rPr>
              <w:t>国家、地方现行安全生产、环保、建筑地面工程相关规范；</w:t>
            </w:r>
          </w:p>
          <w:p>
            <w:pPr>
              <w:pStyle w:val="null3"/>
              <w:numPr>
                <w:ilvl w:val="0"/>
                <w:numId w:val="1"/>
              </w:numPr>
            </w:pPr>
            <w:r>
              <w:rPr>
                <w:rFonts w:ascii="仿宋_GB2312" w:hAnsi="仿宋_GB2312" w:cs="仿宋_GB2312" w:eastAsia="仿宋_GB2312"/>
              </w:rPr>
              <w:t>招标文件、施工图纸、采购人确认的色卡、设计方案；</w:t>
            </w:r>
          </w:p>
          <w:p>
            <w:pPr>
              <w:pStyle w:val="null3"/>
              <w:numPr>
                <w:ilvl w:val="0"/>
                <w:numId w:val="1"/>
              </w:numPr>
            </w:pPr>
            <w:r>
              <w:rPr>
                <w:rFonts w:ascii="仿宋_GB2312" w:hAnsi="仿宋_GB2312" w:cs="仿宋_GB2312" w:eastAsia="仿宋_GB2312"/>
              </w:rPr>
              <w:t>成交供应商投标文件全部技术承诺。</w:t>
            </w:r>
          </w:p>
          <w:p>
            <w:pPr>
              <w:pStyle w:val="null3"/>
            </w:pPr>
            <w:r>
              <w:rPr>
                <w:rFonts w:ascii="仿宋_GB2312" w:hAnsi="仿宋_GB2312" w:cs="仿宋_GB2312" w:eastAsia="仿宋_GB2312"/>
              </w:rPr>
              <w:t>所有材料、施工成品不得低于上述标准，若标准之间存在差异，按</w:t>
            </w:r>
            <w:r>
              <w:rPr>
                <w:rFonts w:ascii="仿宋_GB2312" w:hAnsi="仿宋_GB2312" w:cs="仿宋_GB2312" w:eastAsia="仿宋_GB2312"/>
                <w:b/>
              </w:rPr>
              <w:t>较高标准</w:t>
            </w:r>
            <w:r>
              <w:rPr>
                <w:rFonts w:ascii="仿宋_GB2312" w:hAnsi="仿宋_GB2312" w:cs="仿宋_GB2312" w:eastAsia="仿宋_GB2312"/>
              </w:rPr>
              <w:t>执行。</w:t>
            </w:r>
          </w:p>
          <w:p>
            <w:pPr>
              <w:pStyle w:val="null3"/>
              <w:outlineLvl w:val="1"/>
            </w:pPr>
            <w:r>
              <w:rPr>
                <w:rFonts w:ascii="仿宋_GB2312" w:hAnsi="仿宋_GB2312" w:cs="仿宋_GB2312" w:eastAsia="仿宋_GB2312"/>
                <w:sz w:val="36"/>
                <w:b/>
              </w:rPr>
              <w:t>二、原材料技术要求</w:t>
            </w:r>
          </w:p>
          <w:p>
            <w:pPr>
              <w:pStyle w:val="null3"/>
              <w:outlineLvl w:val="2"/>
            </w:pPr>
            <w:r>
              <w:rPr>
                <w:rFonts w:ascii="仿宋_GB2312" w:hAnsi="仿宋_GB2312" w:cs="仿宋_GB2312" w:eastAsia="仿宋_GB2312"/>
                <w:sz w:val="28"/>
                <w:b/>
              </w:rPr>
              <w:t>1.EPDM 彩色橡胶颗粒</w:t>
            </w:r>
          </w:p>
          <w:p>
            <w:pPr>
              <w:pStyle w:val="null3"/>
              <w:numPr>
                <w:ilvl w:val="0"/>
                <w:numId w:val="1"/>
              </w:numPr>
            </w:pPr>
            <w:r>
              <w:rPr>
                <w:rFonts w:ascii="仿宋_GB2312" w:hAnsi="仿宋_GB2312" w:cs="仿宋_GB2312" w:eastAsia="仿宋_GB2312"/>
              </w:rPr>
              <w:t>原料为三元乙丙橡胶原生颗粒，禁止使用再生废旧橡胶颗粒、回收废料；</w:t>
            </w:r>
          </w:p>
          <w:p>
            <w:pPr>
              <w:pStyle w:val="null3"/>
              <w:numPr>
                <w:ilvl w:val="0"/>
                <w:numId w:val="1"/>
              </w:numPr>
            </w:pPr>
            <w:r>
              <w:rPr>
                <w:rFonts w:ascii="仿宋_GB2312" w:hAnsi="仿宋_GB2312" w:cs="仿宋_GB2312" w:eastAsia="仿宋_GB2312"/>
              </w:rPr>
              <w:t>颗粒粒径、硬度满足现浇摊铺工艺要求，颗粒干净无粉尘、无杂质；</w:t>
            </w:r>
          </w:p>
          <w:p>
            <w:pPr>
              <w:pStyle w:val="null3"/>
              <w:numPr>
                <w:ilvl w:val="0"/>
                <w:numId w:val="1"/>
              </w:numPr>
            </w:pPr>
            <w:r>
              <w:rPr>
                <w:rFonts w:ascii="仿宋_GB2312" w:hAnsi="仿宋_GB2312" w:cs="仿宋_GB2312" w:eastAsia="仿宋_GB2312"/>
              </w:rPr>
              <w:t>材料耐候性强，抗紫外线、不易粉化、褪色；</w:t>
            </w:r>
          </w:p>
          <w:p>
            <w:pPr>
              <w:pStyle w:val="null3"/>
              <w:numPr>
                <w:ilvl w:val="0"/>
                <w:numId w:val="1"/>
              </w:numPr>
            </w:pPr>
            <w:r>
              <w:rPr>
                <w:rFonts w:ascii="仿宋_GB2312" w:hAnsi="仿宋_GB2312" w:cs="仿宋_GB2312" w:eastAsia="仿宋_GB2312"/>
              </w:rPr>
              <w:t>可溶性重金属、多环芳烃、邻苯二甲酸酯等有害物质满足 GB 36246-2018 限值；</w:t>
            </w:r>
          </w:p>
          <w:p>
            <w:pPr>
              <w:pStyle w:val="null3"/>
              <w:numPr>
                <w:ilvl w:val="0"/>
                <w:numId w:val="1"/>
              </w:numPr>
            </w:pPr>
            <w:r>
              <w:rPr>
                <w:rFonts w:ascii="仿宋_GB2312" w:hAnsi="仿宋_GB2312" w:cs="仿宋_GB2312" w:eastAsia="仿宋_GB2312"/>
              </w:rPr>
              <w:t>进场提供原厂合格证、CMA 型式检验报告、化学品安全说明书（MSDS）。</w:t>
            </w:r>
          </w:p>
          <w:p>
            <w:pPr>
              <w:pStyle w:val="null3"/>
              <w:outlineLvl w:val="2"/>
            </w:pPr>
            <w:r>
              <w:rPr>
                <w:rFonts w:ascii="仿宋_GB2312" w:hAnsi="仿宋_GB2312" w:cs="仿宋_GB2312" w:eastAsia="仿宋_GB2312"/>
                <w:sz w:val="28"/>
                <w:b/>
              </w:rPr>
              <w:t>2. 单 / 双组分聚氨酯粘结胶</w:t>
            </w:r>
          </w:p>
          <w:p>
            <w:pPr>
              <w:pStyle w:val="null3"/>
              <w:numPr>
                <w:ilvl w:val="0"/>
                <w:numId w:val="1"/>
              </w:numPr>
            </w:pPr>
            <w:r>
              <w:rPr>
                <w:rFonts w:ascii="仿宋_GB2312" w:hAnsi="仿宋_GB2312" w:cs="仿宋_GB2312" w:eastAsia="仿宋_GB2312"/>
              </w:rPr>
              <w:t>低气味环保型胶水，不得使用劣质溶剂型胶粘剂；</w:t>
            </w:r>
          </w:p>
          <w:p>
            <w:pPr>
              <w:pStyle w:val="null3"/>
              <w:numPr>
                <w:ilvl w:val="0"/>
                <w:numId w:val="1"/>
              </w:numPr>
            </w:pPr>
            <w:r>
              <w:rPr>
                <w:rFonts w:ascii="仿宋_GB2312" w:hAnsi="仿宋_GB2312" w:cs="仿宋_GB2312" w:eastAsia="仿宋_GB2312"/>
              </w:rPr>
              <w:t>固化后不析出有害物质，满足国标挥发性有机物释放指标；</w:t>
            </w:r>
          </w:p>
          <w:p>
            <w:pPr>
              <w:pStyle w:val="null3"/>
              <w:numPr>
                <w:ilvl w:val="0"/>
                <w:numId w:val="1"/>
              </w:numPr>
            </w:pPr>
            <w:r>
              <w:rPr>
                <w:rFonts w:ascii="仿宋_GB2312" w:hAnsi="仿宋_GB2312" w:cs="仿宋_GB2312" w:eastAsia="仿宋_GB2312"/>
              </w:rPr>
              <w:t>粘结力强，抗水解、耐水浸泡，防止后期脱胶、起鼓；</w:t>
            </w:r>
          </w:p>
          <w:p>
            <w:pPr>
              <w:pStyle w:val="null3"/>
              <w:numPr>
                <w:ilvl w:val="0"/>
                <w:numId w:val="1"/>
              </w:numPr>
            </w:pPr>
            <w:r>
              <w:rPr>
                <w:rFonts w:ascii="仿宋_GB2312" w:hAnsi="仿宋_GB2312" w:cs="仿宋_GB2312" w:eastAsia="仿宋_GB2312"/>
              </w:rPr>
              <w:t>禁止添加有害增塑剂，配套提供正规检测资料。</w:t>
            </w:r>
          </w:p>
          <w:p>
            <w:pPr>
              <w:pStyle w:val="null3"/>
              <w:outlineLvl w:val="2"/>
            </w:pPr>
            <w:r>
              <w:rPr>
                <w:rFonts w:ascii="仿宋_GB2312" w:hAnsi="仿宋_GB2312" w:cs="仿宋_GB2312" w:eastAsia="仿宋_GB2312"/>
                <w:sz w:val="28"/>
                <w:b/>
              </w:rPr>
              <w:t>3. 辅料</w:t>
            </w:r>
          </w:p>
          <w:p>
            <w:pPr>
              <w:pStyle w:val="null3"/>
            </w:pPr>
            <w:r>
              <w:rPr>
                <w:rFonts w:ascii="仿宋_GB2312" w:hAnsi="仿宋_GB2312" w:cs="仿宋_GB2312" w:eastAsia="仿宋_GB2312"/>
              </w:rPr>
              <w:t>密封胶、边线材料、标线涂料均需环保达标，与塑胶面层结合牢固，耐候不脱落、不渗色。</w:t>
            </w:r>
          </w:p>
          <w:p>
            <w:pPr>
              <w:pStyle w:val="null3"/>
              <w:outlineLvl w:val="1"/>
            </w:pPr>
            <w:r>
              <w:rPr>
                <w:rFonts w:ascii="仿宋_GB2312" w:hAnsi="仿宋_GB2312" w:cs="仿宋_GB2312" w:eastAsia="仿宋_GB2312"/>
                <w:sz w:val="36"/>
                <w:b/>
              </w:rPr>
              <w:t>三、基础基层技术要求</w:t>
            </w:r>
          </w:p>
          <w:p>
            <w:pPr>
              <w:pStyle w:val="null3"/>
              <w:numPr>
                <w:ilvl w:val="0"/>
                <w:numId w:val="1"/>
              </w:numPr>
            </w:pPr>
            <w:r>
              <w:rPr>
                <w:rFonts w:ascii="仿宋_GB2312" w:hAnsi="仿宋_GB2312" w:cs="仿宋_GB2312" w:eastAsia="仿宋_GB2312"/>
              </w:rPr>
              <w:t>基层建议采用 C25 混凝土或密实沥青基层，表面坚固、无起砂、起粉、空鼓、结构性裂缝；</w:t>
            </w:r>
          </w:p>
          <w:p>
            <w:pPr>
              <w:pStyle w:val="null3"/>
              <w:numPr>
                <w:ilvl w:val="0"/>
                <w:numId w:val="1"/>
              </w:numPr>
            </w:pPr>
            <w:r>
              <w:rPr>
                <w:rFonts w:ascii="仿宋_GB2312" w:hAnsi="仿宋_GB2312" w:cs="仿宋_GB2312" w:eastAsia="仿宋_GB2312"/>
              </w:rPr>
              <w:t>基层含水率≤8%，施工前清理油污、灰尘、积水；潮湿基层必须做防潮处理；</w:t>
            </w:r>
          </w:p>
          <w:p>
            <w:pPr>
              <w:pStyle w:val="null3"/>
              <w:numPr>
                <w:ilvl w:val="0"/>
                <w:numId w:val="1"/>
              </w:numPr>
            </w:pPr>
            <w:r>
              <w:rPr>
                <w:rFonts w:ascii="仿宋_GB2312" w:hAnsi="仿宋_GB2312" w:cs="仿宋_GB2312" w:eastAsia="仿宋_GB2312"/>
              </w:rPr>
              <w:t xml:space="preserve">场地排水坡度设置 </w:t>
            </w:r>
            <w:r>
              <w:rPr>
                <w:rFonts w:ascii="仿宋_GB2312" w:hAnsi="仿宋_GB2312" w:cs="仿宋_GB2312" w:eastAsia="仿宋_GB2312"/>
                <w:b/>
              </w:rPr>
              <w:t>0.3%～1%</w:t>
            </w:r>
            <w:r>
              <w:rPr>
                <w:rFonts w:ascii="仿宋_GB2312" w:hAnsi="仿宋_GB2312" w:cs="仿宋_GB2312" w:eastAsia="仿宋_GB2312"/>
              </w:rPr>
              <w:t>，保证排水顺畅，杜绝永久性积水低洼点；</w:t>
            </w:r>
          </w:p>
          <w:p>
            <w:pPr>
              <w:pStyle w:val="null3"/>
              <w:numPr>
                <w:ilvl w:val="0"/>
                <w:numId w:val="1"/>
              </w:numPr>
            </w:pPr>
            <w:r>
              <w:rPr>
                <w:rFonts w:ascii="仿宋_GB2312" w:hAnsi="仿宋_GB2312" w:cs="仿宋_GB2312" w:eastAsia="仿宋_GB2312"/>
              </w:rPr>
              <w:t>基层伸缩缝预留到位，阴阳角做成圆弧过渡，消除硬质尖角；</w:t>
            </w:r>
          </w:p>
          <w:p>
            <w:pPr>
              <w:pStyle w:val="null3"/>
              <w:numPr>
                <w:ilvl w:val="0"/>
                <w:numId w:val="1"/>
              </w:numPr>
            </w:pPr>
            <w:r>
              <w:rPr>
                <w:rFonts w:ascii="仿宋_GB2312" w:hAnsi="仿宋_GB2312" w:cs="仿宋_GB2312" w:eastAsia="仿宋_GB2312"/>
              </w:rPr>
              <w:t>若基层存在裂缝、起砂等缺陷，供应商进场前须书面告知采购人，协商处理方案。</w:t>
            </w:r>
          </w:p>
          <w:p>
            <w:pPr>
              <w:pStyle w:val="null3"/>
              <w:outlineLvl w:val="1"/>
            </w:pPr>
            <w:r>
              <w:rPr>
                <w:rFonts w:ascii="仿宋_GB2312" w:hAnsi="仿宋_GB2312" w:cs="仿宋_GB2312" w:eastAsia="仿宋_GB2312"/>
                <w:sz w:val="36"/>
                <w:b/>
              </w:rPr>
              <w:t>四、面层施工技术要求（现浇 EPDM）</w:t>
            </w:r>
          </w:p>
          <w:p>
            <w:pPr>
              <w:pStyle w:val="null3"/>
              <w:numPr>
                <w:ilvl w:val="0"/>
                <w:numId w:val="1"/>
              </w:numPr>
            </w:pPr>
            <w:r>
              <w:rPr>
                <w:rFonts w:ascii="仿宋_GB2312" w:hAnsi="仿宋_GB2312" w:cs="仿宋_GB2312" w:eastAsia="仿宋_GB2312"/>
                <w:b/>
              </w:rPr>
              <w:t>铺设厚度（硬性指标）</w:t>
            </w:r>
          </w:p>
          <w:p>
            <w:pPr>
              <w:pStyle w:val="null3"/>
              <w:numPr>
                <w:ilvl w:val="0"/>
                <w:numId w:val="2"/>
              </w:numPr>
            </w:pPr>
            <w:r>
              <w:rPr>
                <w:rFonts w:ascii="仿宋_GB2312" w:hAnsi="仿宋_GB2312" w:cs="仿宋_GB2312" w:eastAsia="仿宋_GB2312"/>
              </w:rPr>
              <w:t>普通活动区域：塑胶面层总厚度≥13mm，任意测点最低厚度不小于 10mm；</w:t>
            </w:r>
          </w:p>
          <w:p>
            <w:pPr>
              <w:pStyle w:val="null3"/>
              <w:numPr>
                <w:ilvl w:val="0"/>
                <w:numId w:val="2"/>
              </w:numPr>
            </w:pPr>
            <w:r>
              <w:rPr>
                <w:rFonts w:ascii="仿宋_GB2312" w:hAnsi="仿宋_GB2312" w:cs="仿宋_GB2312" w:eastAsia="仿宋_GB2312"/>
              </w:rPr>
              <w:t>滑梯、攀爬架、秋千等游乐设施</w:t>
            </w:r>
            <w:r>
              <w:rPr>
                <w:rFonts w:ascii="仿宋_GB2312" w:hAnsi="仿宋_GB2312" w:cs="仿宋_GB2312" w:eastAsia="仿宋_GB2312"/>
                <w:b/>
              </w:rPr>
              <w:t>跌落保护区</w:t>
            </w:r>
            <w:r>
              <w:rPr>
                <w:rFonts w:ascii="仿宋_GB2312" w:hAnsi="仿宋_GB2312" w:cs="仿宋_GB2312" w:eastAsia="仿宋_GB2312"/>
              </w:rPr>
              <w:t>总厚度≥15mm；</w:t>
            </w:r>
          </w:p>
          <w:p>
            <w:pPr>
              <w:pStyle w:val="null3"/>
              <w:numPr>
                <w:ilvl w:val="0"/>
                <w:numId w:val="2"/>
              </w:numPr>
            </w:pPr>
            <w:r>
              <w:rPr>
                <w:rFonts w:ascii="仿宋_GB2312" w:hAnsi="仿宋_GB2312" w:cs="仿宋_GB2312" w:eastAsia="仿宋_GB2312"/>
              </w:rPr>
              <w:t>厚度均匀，厚薄偏差≤±1.5mm。</w:t>
            </w:r>
          </w:p>
          <w:p>
            <w:pPr>
              <w:pStyle w:val="null3"/>
              <w:outlineLvl w:val="1"/>
            </w:pPr>
            <w:r>
              <w:rPr>
                <w:rFonts w:ascii="仿宋_GB2312" w:hAnsi="仿宋_GB2312" w:cs="仿宋_GB2312" w:eastAsia="仿宋_GB2312"/>
                <w:sz w:val="36"/>
                <w:b/>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1、工期：合同签订之日起 18日历天。 2、质保期：从项目验收合格之日起2年。 3、施工地点：咸阳市机关幼儿园指定地点。4、施工及验收规范：符合国家现行相关施工验收规范标准合格等级。 5.付款方式：（1）进度款，施工完成40%，达到付款条件起5个工作日内，支付合同总金额的40.0%；（2）进度款，施工完成，达到付款条件起5个工作日内，支付合同总金额的60.0%。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格式文本.docx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w:t>
            </w:r>
          </w:p>
        </w:tc>
        <w:tc>
          <w:tcPr>
            <w:tcW w:type="dxa" w:w="1661"/>
          </w:tcPr>
          <w:p>
            <w:pPr>
              <w:pStyle w:val="null3"/>
            </w:pPr>
            <w:r>
              <w:rPr>
                <w:rFonts w:ascii="仿宋_GB2312" w:hAnsi="仿宋_GB2312" w:cs="仿宋_GB2312" w:eastAsia="仿宋_GB2312"/>
              </w:rPr>
              <w:t>中小企业声明函 残疾人福利性单位声明函 监狱企业的证明文件 强制优先采购产品承诺函 格式文本.docx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供应商应具有独立承担民事责任能力的法人或其他组织或自然人（法人或其他组织提供营业执照或事业单位法人证书等国家规定的相关证明，自然人提供身份证件）；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法定代表人直接参加磋商的，须出具法定代表人身份证明书（含法人身份证复印件）；法定代表人授权代表参加磋商的，须出具法定代表人授权书（附法定代表人身份证复印件及被授权人身份证复印件）；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供应商须具备建设行政主管部门颁发的建筑工程施工总承包二级（含二级）以上资质，具有有效的安全生产许可证；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拟派项目负责人须具备建筑工程专业二级（含二级）以上注册建造师资格及有效的安全生产考核合格证，且无在建项目；</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中小企业声明函 报价函 标的清单 响应函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 响应函 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报价函 标的清单 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报价函 标的清单 响应函 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 响应文件无响应有效期或有效期达不到竞争性磋商文件要求的（不合格）。</w:t>
            </w:r>
          </w:p>
        </w:tc>
        <w:tc>
          <w:tcPr>
            <w:tcW w:type="dxa" w:w="1661"/>
          </w:tcPr>
          <w:p>
            <w:pPr>
              <w:pStyle w:val="null3"/>
            </w:pPr>
            <w:r>
              <w:rPr>
                <w:rFonts w:ascii="仿宋_GB2312" w:hAnsi="仿宋_GB2312" w:cs="仿宋_GB2312" w:eastAsia="仿宋_GB2312"/>
              </w:rPr>
              <w:t>报价函 标的清单 响应函 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已标价工程量清单扉页(仅指投标总价扉页)已加盖造价人员签字并盖执业印章或工程造价咨询企业(提供双方合作协议)的造价人员签字并盖执业印章（合格）； 已标价工程量清单扉页(仅指投标总价扉页)未加盖造价人员签字并盖执业印章或工程造价咨询企业(提供双方合作协议)的造价人员签字并盖执业印章（不合格）。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已标价工程量清单 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 标的清单 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不存在法律、法规和采购文件规定的其他无效 情形(合格)； 存在法律、法规和招标文件规定的其他无效情形(不合格)。</w:t>
            </w:r>
          </w:p>
        </w:tc>
        <w:tc>
          <w:tcPr>
            <w:tcW w:type="dxa" w:w="1661"/>
          </w:tcPr>
          <w:p>
            <w:pPr>
              <w:pStyle w:val="null3"/>
            </w:pPr>
            <w:r>
              <w:rPr>
                <w:rFonts w:ascii="仿宋_GB2312" w:hAnsi="仿宋_GB2312" w:cs="仿宋_GB2312" w:eastAsia="仿宋_GB2312"/>
              </w:rPr>
              <w:t>强制优先采购产品承诺函 格式文本.docx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供应商针对本项目编制完善的工程质量技术组织措施，内容包含但不限于：①质量管理目标；②质量管理制度；③主要工序的质量技术保证措施和手段。 二、评审及赋分标准（满分3分） 方案内容全面详细、阐述条理清晰详尽、符合本项目采购需求；本项最高得 3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供应商针对本项目编制完善的文明施工及环境保护措施，内容包含但不限于：①确保文明施工的技术组织措施；②确保文明施工的环境保护措施。 二、评审及赋分标准（满分2分） 方案内容全面详细、阐述条理清晰详尽、符合本项目采购需求；本项最高得 2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供应商针对本项目编制完善的安全生产的技术组织措施，内容包含但不限于：①安全管理人员配备；②制度健全；③各道工序安全技术措施。 二、评审及赋分标准（满分3分） 方案内容全面详细、阐述条理清晰详尽、符合本项目采购需求；本项最高得 3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供应商针对本项目编制完善的工期的技术组织措施，内容包含但不限于：①施工进度计划安排；②施工进度计划保障措施。 二、评审及赋分标准（满分2分） 方案内容全面详细、阐述条理清晰详尽、符合本项目采购需求；本项最高得 2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供应商针对本项目编制完善的施工方案，内容包含但不限于：①施工概述；②施工工艺；③施工方法；④交叉施工措施。 二、评审及赋分标准（满分12分） 方案内容全面详细、阐述条理清晰详尽、符合本项目采购需求；本项最高得 12分，每有一项缺项扣3分，每项每有一处内容存在缺陷，扣1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一、评审内容 供应商针对本项目编制完善的施工机械配备，评审内容：①投入的施工机械、设备；②设备数量；③选型配置；④进场数量、时间安排。 二、评审及赋分标准（满分4分） 方案内容全面详细、阐述条理清晰详尽、符合本项目采购需求；本项最高得 4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一、评审内容 供应商针对本项目编制完善的施工进度网络图或施工进度表，内容包含但不限于：①保证工期实施措施方案②施工进度表或施工网络图。 二、评审及赋分标准（满分2分） 方案内容全面详细、阐述条理清晰详尽、符合本项目采购需求；本项最高得 2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劳动力安排情况</w:t>
            </w:r>
          </w:p>
        </w:tc>
        <w:tc>
          <w:tcPr>
            <w:tcW w:type="dxa" w:w="2492"/>
          </w:tcPr>
          <w:p>
            <w:pPr>
              <w:pStyle w:val="null3"/>
            </w:pPr>
            <w:r>
              <w:rPr>
                <w:rFonts w:ascii="仿宋_GB2312" w:hAnsi="仿宋_GB2312" w:cs="仿宋_GB2312" w:eastAsia="仿宋_GB2312"/>
              </w:rPr>
              <w:t>一、评审内容 供应商针对本项目编制完善的劳动力安排情况，内容包含但不限于：①劳动力安排合理妥当②时间安排合理。 二、评审及赋分标准（满分2分） 方案内容全面详细、阐述条理清晰详尽、符合本项目采购需求；本项最高得 2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项目经理部 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供应商针对本项目编制完善的项目经理部组织机构，内容包含但不限于：①项目成员配置清单及架构；②项目成员的主要职责及工作内容。 二、评审及赋分标准（满分2分） 方案内容全面详细、阐述条理清晰详尽、符合本项目采购需求；本项最高得 2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一、评审内容 供应商针对本项目编制完善的新技术、新产品、新工艺、新材料应用及施工现场扬尘预防措施，内容包含但不限于：①施工单位应用的技术、产品、工艺、材料等先进科学；②合理的施工现场扬尘预防措施。 评审标准：每一项方案内容全面详细、阐述条理清晰详尽、符合本项目得 1 分，满分 2 分，每项存在一处缺陷，扣 0.5 分，扣完为止。 二、评审及赋分标准（满分2分） 方案内容全面详细、阐述条理清晰详尽、符合本项目采购需求；本项最高得 2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应急方案及措施</w:t>
            </w:r>
          </w:p>
        </w:tc>
        <w:tc>
          <w:tcPr>
            <w:tcW w:type="dxa" w:w="2492"/>
          </w:tcPr>
          <w:p>
            <w:pPr>
              <w:pStyle w:val="null3"/>
            </w:pPr>
            <w:r>
              <w:rPr>
                <w:rFonts w:ascii="仿宋_GB2312" w:hAnsi="仿宋_GB2312" w:cs="仿宋_GB2312" w:eastAsia="仿宋_GB2312"/>
              </w:rPr>
              <w:t>一、评审内容 供应商针对本项目编制完善的应急方案及措施，内容包含但不限于：①针对本项目施工过程突发和临时事件的预计；②应急处理能力；③应急管理制度；④应急措施；⑤应急小组人员配备；⑥应急小组人员分工情况。 二、评审及赋分标准（满分6分） 方案内容全面详细、阐述条理清晰详尽、符合本项目采购需求；本项最高得 6 分，每有一项缺项扣1分，每项每有一处内容存在缺陷，扣 0.5 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1.项目经理职称：具备建筑工程相关专业高级及以上职称得3分，中级职称得1分，其他职称不得分。 2.项目经理学历：具有大学本科及以上学历的，得3分，具有大学专科学历的，得1分，其它不得分。 3.项目经理业绩：提供以项目经理身份完成的类似项目业绩，每提供一项得2 分，本项最高得 2 分，未提供者不得分。 注：须提供合同关键页扫描件加盖供应商公章，包括合同金额所在页、签字盖章页、主要内容页。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拟投入项目管理人员</w:t>
            </w:r>
          </w:p>
        </w:tc>
        <w:tc>
          <w:tcPr>
            <w:tcW w:type="dxa" w:w="2492"/>
          </w:tcPr>
          <w:p>
            <w:pPr>
              <w:pStyle w:val="null3"/>
            </w:pPr>
            <w:r>
              <w:rPr>
                <w:rFonts w:ascii="仿宋_GB2312" w:hAnsi="仿宋_GB2312" w:cs="仿宋_GB2312" w:eastAsia="仿宋_GB2312"/>
              </w:rPr>
              <w:t>1.满足项目管理人员最低要求（项目经理、技术负责人、安全员、质量员、施工员、材料员、资料员、造价员各1人）的得4分，未满足最低要求不得分。在上述要求的基础上，每增加一名安全员得1分、质量员得1分；每增加一名施工员、材料员、资料员、造价员各得0.5分，最高加4分。满分8分。 2.在上述要求的基础上，管理人员中每具备一个大学本科及以上学历的，得2分，每具备一个大学专科学历的，得1分，满分4分。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供应商提供2023年7月1日以来承接过类似项目的业绩合同（以合同的签订日期为准），每个业绩合同得2分，满分10分。 注：须提供合同关键页扫描件加盖供应商公章，包括合同金额所在页、签字盖章页、主要内容页。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在预算限额之内满足招标文件要求且投标价格最低的投标报价为评标基准价，其价格分为30分。高于评标基准价的投标供应商的价格分按照下列公式计算：投标报价得分=（评标基准价/投标报价）×30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