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6AA09">
      <w:pPr>
        <w:pStyle w:val="16"/>
        <w:spacing w:line="360" w:lineRule="auto"/>
        <w:jc w:val="center"/>
        <w:outlineLvl w:val="2"/>
        <w:rPr>
          <w:rFonts w:hint="eastAsia" w:ascii="仿宋" w:hAnsi="仿宋" w:eastAsia="仿宋" w:cs="仿宋"/>
          <w:sz w:val="24"/>
          <w:szCs w:val="24"/>
        </w:rPr>
      </w:pPr>
      <w:bookmarkStart w:id="1" w:name="_GoBack"/>
      <w:r>
        <w:rPr>
          <w:rFonts w:hint="eastAsia" w:ascii="仿宋" w:hAnsi="仿宋" w:eastAsia="仿宋" w:cs="仿宋"/>
          <w:b/>
          <w:sz w:val="40"/>
          <w:szCs w:val="24"/>
        </w:rPr>
        <w:t>服务要求</w:t>
      </w:r>
    </w:p>
    <w:bookmarkEnd w:id="1"/>
    <w:p w14:paraId="76F990AF">
      <w:pPr>
        <w:pStyle w:val="1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采购包1：</w:t>
      </w:r>
    </w:p>
    <w:p w14:paraId="63D0B148">
      <w:pPr>
        <w:pStyle w:val="1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供应商报价不允许超过标的金额</w:t>
      </w:r>
    </w:p>
    <w:p w14:paraId="1A2D5524">
      <w:pPr>
        <w:pStyle w:val="1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（招单价的）供应商报价不允许超过标的单价</w:t>
      </w:r>
    </w:p>
    <w:p w14:paraId="5FF198EF">
      <w:pPr>
        <w:pStyle w:val="1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标的名称：档案整理及电子化扫描</w:t>
      </w:r>
    </w:p>
    <w:tbl>
      <w:tblPr>
        <w:tblStyle w:val="11"/>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7"/>
        <w:gridCol w:w="773"/>
        <w:gridCol w:w="7651"/>
      </w:tblGrid>
      <w:tr w14:paraId="79DA85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56874C08">
            <w:pPr>
              <w:pStyle w:val="16"/>
              <w:spacing w:line="360" w:lineRule="auto"/>
              <w:rPr>
                <w:rFonts w:hint="eastAsia" w:ascii="仿宋" w:hAnsi="仿宋" w:eastAsia="仿宋" w:cs="仿宋"/>
                <w:sz w:val="24"/>
                <w:szCs w:val="24"/>
              </w:rPr>
            </w:pPr>
            <w:r>
              <w:rPr>
                <w:rFonts w:hint="eastAsia" w:ascii="仿宋" w:hAnsi="仿宋" w:eastAsia="仿宋" w:cs="仿宋"/>
                <w:sz w:val="24"/>
                <w:szCs w:val="24"/>
              </w:rPr>
              <w:t xml:space="preserve"> 序号</w:t>
            </w:r>
          </w:p>
        </w:tc>
        <w:tc>
          <w:tcPr>
            <w:tcW w:w="416" w:type="pct"/>
          </w:tcPr>
          <w:p w14:paraId="40B21699">
            <w:pPr>
              <w:pStyle w:val="16"/>
              <w:spacing w:line="360" w:lineRule="auto"/>
              <w:rPr>
                <w:rFonts w:hint="eastAsia" w:ascii="仿宋" w:hAnsi="仿宋" w:eastAsia="仿宋" w:cs="仿宋"/>
                <w:sz w:val="24"/>
                <w:szCs w:val="24"/>
              </w:rPr>
            </w:pPr>
            <w:r>
              <w:rPr>
                <w:rFonts w:hint="eastAsia" w:ascii="仿宋" w:hAnsi="仿宋" w:eastAsia="仿宋" w:cs="仿宋"/>
                <w:sz w:val="24"/>
                <w:szCs w:val="24"/>
              </w:rPr>
              <w:t>参数性质</w:t>
            </w:r>
          </w:p>
        </w:tc>
        <w:tc>
          <w:tcPr>
            <w:tcW w:w="4120" w:type="pct"/>
          </w:tcPr>
          <w:p w14:paraId="68773C48">
            <w:pPr>
              <w:pStyle w:val="16"/>
              <w:spacing w:line="360" w:lineRule="auto"/>
              <w:rPr>
                <w:rFonts w:hint="eastAsia" w:ascii="仿宋" w:hAnsi="仿宋" w:eastAsia="仿宋" w:cs="仿宋"/>
                <w:sz w:val="24"/>
                <w:szCs w:val="24"/>
              </w:rPr>
            </w:pPr>
            <w:r>
              <w:rPr>
                <w:rFonts w:hint="eastAsia" w:ascii="仿宋" w:hAnsi="仿宋" w:eastAsia="仿宋" w:cs="仿宋"/>
                <w:sz w:val="24"/>
                <w:szCs w:val="24"/>
              </w:rPr>
              <w:t xml:space="preserve"> 技术参数与性能指标</w:t>
            </w:r>
          </w:p>
        </w:tc>
      </w:tr>
      <w:tr w14:paraId="72724B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61FDF3CC">
            <w:pPr>
              <w:pStyle w:val="16"/>
              <w:spacing w:line="360" w:lineRule="auto"/>
              <w:rPr>
                <w:rFonts w:hint="eastAsia" w:ascii="仿宋" w:hAnsi="仿宋" w:eastAsia="仿宋" w:cs="仿宋"/>
                <w:sz w:val="24"/>
                <w:szCs w:val="24"/>
              </w:rPr>
            </w:pPr>
            <w:r>
              <w:rPr>
                <w:rFonts w:hint="eastAsia" w:ascii="仿宋" w:hAnsi="仿宋" w:eastAsia="仿宋" w:cs="仿宋"/>
                <w:sz w:val="24"/>
                <w:szCs w:val="24"/>
              </w:rPr>
              <w:t>1</w:t>
            </w:r>
          </w:p>
        </w:tc>
        <w:tc>
          <w:tcPr>
            <w:tcW w:w="416" w:type="pct"/>
          </w:tcPr>
          <w:p w14:paraId="47E16FD5">
            <w:pPr>
              <w:spacing w:line="360" w:lineRule="auto"/>
              <w:rPr>
                <w:rFonts w:hint="eastAsia" w:ascii="仿宋" w:hAnsi="仿宋" w:eastAsia="仿宋" w:cs="仿宋"/>
                <w:sz w:val="24"/>
                <w:szCs w:val="24"/>
              </w:rPr>
            </w:pPr>
          </w:p>
        </w:tc>
        <w:tc>
          <w:tcPr>
            <w:tcW w:w="4120" w:type="pct"/>
            <w:vMerge w:val="restart"/>
          </w:tcPr>
          <w:p w14:paraId="3BD470AF">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服务内容：</w:t>
            </w:r>
          </w:p>
          <w:p w14:paraId="2FED5399">
            <w:pPr>
              <w:pStyle w:val="16"/>
              <w:spacing w:line="360" w:lineRule="auto"/>
              <w:ind w:firstLine="480"/>
              <w:jc w:val="both"/>
              <w:rPr>
                <w:rFonts w:hint="eastAsia" w:ascii="仿宋" w:hAnsi="仿宋" w:eastAsia="仿宋" w:cs="仿宋"/>
                <w:color w:val="000000"/>
                <w:sz w:val="24"/>
                <w:szCs w:val="24"/>
              </w:rPr>
            </w:pPr>
            <w:r>
              <w:rPr>
                <w:rFonts w:hint="eastAsia" w:ascii="仿宋" w:hAnsi="仿宋" w:eastAsia="仿宋" w:cs="仿宋"/>
                <w:color w:val="000000"/>
                <w:sz w:val="24"/>
                <w:szCs w:val="24"/>
              </w:rPr>
              <w:t>该项目共包含两个部分</w:t>
            </w:r>
            <w:r>
              <w:rPr>
                <w:rFonts w:hint="eastAsia" w:ascii="仿宋" w:hAnsi="仿宋" w:eastAsia="仿宋" w:cs="仿宋"/>
                <w:color w:val="000000"/>
                <w:sz w:val="24"/>
                <w:szCs w:val="24"/>
                <w:highlight w:val="none"/>
              </w:rPr>
              <w:t>：一是针对民商事案件的电子卷宗随案同步生成工作。服务内容主要包含材料收转、卷宗扫描、校核编目、卷宗借阅、卷宗存储等工作。二是针对刑事和执行案件的档</w:t>
            </w:r>
            <w:r>
              <w:rPr>
                <w:rFonts w:hint="eastAsia" w:ascii="仿宋" w:hAnsi="仿宋" w:eastAsia="仿宋" w:cs="仿宋"/>
                <w:color w:val="000000"/>
                <w:sz w:val="24"/>
                <w:szCs w:val="24"/>
              </w:rPr>
              <w:t>案数字化工作。对暂不适宜进行电子卷宗随案同步生成的刑事案件和执行案件，在案件办理结束后，对卷宗进行集中数字化加工处理，形成符合档案归档要求的档案资料及电子数据扫描和上传，完成档案数字化工作。</w:t>
            </w:r>
            <w:r>
              <w:rPr>
                <w:rFonts w:hint="eastAsia" w:ascii="仿宋" w:hAnsi="仿宋" w:eastAsia="仿宋" w:cs="仿宋"/>
                <w:color w:val="000000"/>
                <w:sz w:val="24"/>
                <w:szCs w:val="24"/>
                <w:lang w:val="en-US" w:eastAsia="zh-CN"/>
              </w:rPr>
              <w:t xml:space="preserve"> </w:t>
            </w:r>
          </w:p>
          <w:p w14:paraId="56D40BD8">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（一）电子卷宗随案同步</w:t>
            </w:r>
          </w:p>
          <w:p w14:paraId="5AB29BA6">
            <w:pPr>
              <w:pStyle w:val="16"/>
              <w:spacing w:line="360" w:lineRule="auto"/>
              <w:ind w:firstLine="480"/>
              <w:jc w:val="left"/>
              <w:rPr>
                <w:rFonts w:hint="eastAsia" w:ascii="仿宋" w:hAnsi="仿宋" w:eastAsia="仿宋" w:cs="仿宋"/>
                <w:sz w:val="24"/>
                <w:szCs w:val="24"/>
              </w:rPr>
            </w:pPr>
            <w:r>
              <w:rPr>
                <w:rFonts w:hint="eastAsia" w:ascii="仿宋" w:hAnsi="仿宋" w:eastAsia="仿宋" w:cs="仿宋"/>
                <w:color w:val="000000"/>
                <w:sz w:val="24"/>
                <w:szCs w:val="24"/>
              </w:rPr>
              <w:t>全流程电子卷宗随案同步内容包括电子卷宗、电子档案、纸质案卷的卷内整理、管理、归档以及审判执行工作中的同步辅助性工作内容。具体工作内容如下：</w:t>
            </w:r>
          </w:p>
          <w:p w14:paraId="05035655">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.数字化扫描：包括纸质材料的接卷、整理、质检、扫描、结案上传、装订等内容；</w:t>
            </w:r>
          </w:p>
          <w:p w14:paraId="0DC3DBC1">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（1）接卷：每个阶段的案件材料按时间节点移送至电子卷宗随案生成中心，由双方负责人案件核查、签字确认；</w:t>
            </w:r>
          </w:p>
          <w:p w14:paraId="0E3CC90A">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（2）整理：排序、编码、打印目录、写卷皮、填写备考表；</w:t>
            </w:r>
          </w:p>
          <w:p w14:paraId="7C17130C">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（3）质检：由电子卷宗随案生成中心负责人针对整理材料进行核准、审查相关工作，保证纸质材料的完整性；</w:t>
            </w:r>
          </w:p>
          <w:p w14:paraId="613E805B">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（4）扫描：针对案卷材料进行图片的纠偏、去污、拆边、图片旋转等处理，扫描后的原始图像应进行优化处理，使得成品图像清晰、端正；</w:t>
            </w:r>
          </w:p>
          <w:p w14:paraId="45EA4DD8">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（5）结案上传：在</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一张网</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系统中，根据档案目录编辑电子档案目录点击上传，核对目录条是否与材料内容一一对应；</w:t>
            </w:r>
          </w:p>
          <w:p w14:paraId="7377FAE2">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（6）装订：案件资料应遵循“两对齐”、“三孔一线”的标准并进行封条盖章，完成装订工作。</w:t>
            </w:r>
          </w:p>
          <w:p w14:paraId="14364EC4">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.电子卷宗：包括扫描、卷宗上传、质检、系统操作等内容；</w:t>
            </w:r>
          </w:p>
          <w:p w14:paraId="098164C2">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（1）扫描：将各阶段案卷材料按照时间节点，进行图片的纠偏、去污、拆边、图片旋转等处理，扫描后的原始图像应进行优化处理，使得成品图像清晰、端正；</w:t>
            </w:r>
          </w:p>
          <w:p w14:paraId="23743E9D">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（2）卷宗上传：在电子卷宗系统中，将各阶段案卷材料按照时间节点，归目后完成上传；</w:t>
            </w:r>
          </w:p>
          <w:p w14:paraId="585D982F">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（3）质检：核对已上传的电子材料是否与目录条目、名称一一对应，保证材料纸电一致；</w:t>
            </w:r>
          </w:p>
          <w:p w14:paraId="0035A56A">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（4）系统操作：按照电子卷宗随案同步的考核标准，在</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一张网</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系统中</w:t>
            </w:r>
            <w:r>
              <w:rPr>
                <w:rFonts w:hint="eastAsia" w:ascii="仿宋" w:hAnsi="仿宋" w:eastAsia="仿宋" w:cs="仿宋"/>
                <w:color w:val="000000"/>
                <w:sz w:val="24"/>
                <w:szCs w:val="24"/>
              </w:rPr>
              <w:t>完成各阶段系统挂接工作。</w:t>
            </w:r>
          </w:p>
          <w:p w14:paraId="02D7D222">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.案卷工作：包括纸质案卷的卷内材料整理、案卷整理、案卷管理及归档等内容。</w:t>
            </w:r>
          </w:p>
          <w:p w14:paraId="51E84195">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（1）卷内材料整理：将各阶段材料收集整合，同一案卷材料按照装订厚度要求进行分册，进行排序、编码、打印目录、写卷皮、填写备考表等；</w:t>
            </w:r>
          </w:p>
          <w:p w14:paraId="22AE1EFD">
            <w:pPr>
              <w:pStyle w:val="16"/>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rPr>
              <w:t>（2）案卷整理：对已经装订好的案卷进行贴侧标、盖档案数字章、档案封存章等；</w:t>
            </w:r>
          </w:p>
          <w:p w14:paraId="7CD2E4EA">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（3）案卷管理及归档：对未归档案件纸质案卷管理，符合归档条件的案卷进行系统签收、归档验收，验收通过后，协助入库上架。</w:t>
            </w:r>
          </w:p>
          <w:p w14:paraId="635F352A">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在接收到“归档整理”指令后10个工作日内将整理完成的电子档案发送承办法官审核，纸质档案组卷完成移交档案室。</w:t>
            </w:r>
          </w:p>
          <w:p w14:paraId="263C3A7F">
            <w:pPr>
              <w:pStyle w:val="16"/>
              <w:spacing w:line="360" w:lineRule="auto"/>
              <w:jc w:val="lef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借阅管理</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在提供案卷借阅服务时，应当及时做好借阅登记工作，收到归还材料时，应当认真检查卷内材料，如发现材料有短缺、涂改、污损等情况的，及时向管理部门报告。保证材料齐全、内容完整。</w:t>
            </w:r>
          </w:p>
          <w:p w14:paraId="19B0DBF8">
            <w:pPr>
              <w:pStyle w:val="16"/>
              <w:numPr>
                <w:ilvl w:val="0"/>
                <w:numId w:val="1"/>
              </w:numPr>
              <w:spacing w:line="360" w:lineRule="auto"/>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工作地点及服务时限</w:t>
            </w:r>
          </w:p>
          <w:p w14:paraId="0E677747">
            <w:pPr>
              <w:pStyle w:val="16"/>
              <w:numPr>
                <w:ilvl w:val="0"/>
                <w:numId w:val="2"/>
              </w:numPr>
              <w:spacing w:line="360" w:lineRule="auto"/>
              <w:ind w:left="0" w:leftChars="0" w:firstLine="0"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供应商派驻团队到采购人办公地提供服务，服务团队人员不少于1</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人。采购人不支付任何形式的加班及食宿费用。</w:t>
            </w:r>
          </w:p>
          <w:p w14:paraId="787E4F33">
            <w:pPr>
              <w:pStyle w:val="16"/>
              <w:numPr>
                <w:ilvl w:val="0"/>
                <w:numId w:val="2"/>
              </w:numPr>
              <w:spacing w:line="360" w:lineRule="auto"/>
              <w:ind w:left="0" w:leftChars="0" w:firstLine="0"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为保证诉讼材料能够实时扫描上传至业务系统，电子卷宗随案同步生成工作人员原则上做到当日材料当日扫描上传完成，个别因材料过多等原因不能当日完成的，必须做好标记和记录，并在下一个工作日优先处理完成，最长不得超过 3个工作日。</w:t>
            </w:r>
          </w:p>
          <w:tbl>
            <w:tblPr>
              <w:tblStyle w:val="11"/>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68"/>
              <w:gridCol w:w="949"/>
              <w:gridCol w:w="2327"/>
              <w:gridCol w:w="3390"/>
            </w:tblGrid>
            <w:tr w14:paraId="4B00E1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29" w:hRule="atLeast"/>
              </w:trPr>
              <w:tc>
                <w:tcPr>
                  <w:tcW w:w="51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8EDFFD">
                  <w:pPr>
                    <w:pStyle w:val="16"/>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63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DF2C3B">
                  <w:pPr>
                    <w:pStyle w:val="16"/>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节点</w:t>
                  </w:r>
                </w:p>
              </w:tc>
              <w:tc>
                <w:tcPr>
                  <w:tcW w:w="15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0D9022">
                  <w:pPr>
                    <w:pStyle w:val="16"/>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卷宗上传时限</w:t>
                  </w:r>
                </w:p>
              </w:tc>
              <w:tc>
                <w:tcPr>
                  <w:tcW w:w="2279"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9738C6">
                  <w:pPr>
                    <w:pStyle w:val="16"/>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r>
            <w:tr w14:paraId="7F2D4A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C6E879">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6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93AA24">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立案</w:t>
                  </w:r>
                </w:p>
              </w:tc>
              <w:tc>
                <w:tcPr>
                  <w:tcW w:w="15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60ED9C">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同步入卷，最迟立案后3</w:t>
                  </w:r>
                  <w:r>
                    <w:rPr>
                      <w:rFonts w:hint="eastAsia" w:ascii="仿宋" w:hAnsi="仿宋" w:eastAsia="仿宋" w:cs="仿宋"/>
                      <w:color w:val="000000"/>
                      <w:sz w:val="24"/>
                      <w:szCs w:val="24"/>
                      <w:lang w:val="en-US" w:eastAsia="zh-CN"/>
                    </w:rPr>
                    <w:t>个工作</w:t>
                  </w:r>
                  <w:r>
                    <w:rPr>
                      <w:rFonts w:hint="eastAsia" w:ascii="仿宋" w:hAnsi="仿宋" w:eastAsia="仿宋" w:cs="仿宋"/>
                      <w:color w:val="000000"/>
                      <w:sz w:val="24"/>
                      <w:szCs w:val="24"/>
                    </w:rPr>
                    <w:t>日内</w:t>
                  </w:r>
                </w:p>
              </w:tc>
              <w:tc>
                <w:tcPr>
                  <w:tcW w:w="227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F51224">
                  <w:pPr>
                    <w:pStyle w:val="16"/>
                    <w:spacing w:line="360"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至少包含起诉状、上诉状、再审申请书、强制执行申请书、抗诉书等文书材料的扫描上传工作应实时完成，并通过“一张网”OCR识别功能自动回填完成案件立案的基本信息。</w:t>
                  </w:r>
                  <w:r>
                    <w:rPr>
                      <w:rFonts w:hint="eastAsia" w:ascii="仿宋" w:hAnsi="仿宋" w:eastAsia="仿宋" w:cs="仿宋"/>
                      <w:color w:val="000000"/>
                      <w:sz w:val="24"/>
                      <w:szCs w:val="24"/>
                      <w:lang w:val="en-US" w:eastAsia="zh-CN"/>
                    </w:rPr>
                    <w:t>2.其他诉讼材料(当事人身份证明、授权委托书、证据目录、证据材料、执行依据及生效证明等相关材料)，应在3个工作日内完成上传工作。</w:t>
                  </w:r>
                </w:p>
              </w:tc>
            </w:tr>
            <w:tr w14:paraId="290159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1A23E">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6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3D2B94B">
                  <w:pPr>
                    <w:pStyle w:val="16"/>
                    <w:spacing w:line="360" w:lineRule="auto"/>
                    <w:jc w:val="lef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审理</w:t>
                  </w:r>
                </w:p>
              </w:tc>
              <w:tc>
                <w:tcPr>
                  <w:tcW w:w="15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F0A1AA9">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同步入卷，最迟</w:t>
                  </w:r>
                  <w:r>
                    <w:rPr>
                      <w:rFonts w:hint="eastAsia" w:ascii="仿宋" w:hAnsi="仿宋" w:eastAsia="仿宋" w:cs="仿宋"/>
                      <w:color w:val="000000"/>
                      <w:sz w:val="24"/>
                      <w:szCs w:val="24"/>
                      <w:lang w:val="en-US" w:eastAsia="zh-CN"/>
                    </w:rPr>
                    <w:t>在接收</w:t>
                  </w:r>
                  <w:r>
                    <w:rPr>
                      <w:rFonts w:hint="eastAsia" w:ascii="仿宋" w:hAnsi="仿宋" w:eastAsia="仿宋" w:cs="仿宋"/>
                      <w:color w:val="000000"/>
                      <w:sz w:val="24"/>
                      <w:szCs w:val="24"/>
                    </w:rPr>
                    <w:t>后3</w:t>
                  </w:r>
                  <w:r>
                    <w:rPr>
                      <w:rFonts w:hint="eastAsia" w:ascii="仿宋" w:hAnsi="仿宋" w:eastAsia="仿宋" w:cs="仿宋"/>
                      <w:color w:val="000000"/>
                      <w:sz w:val="24"/>
                      <w:szCs w:val="24"/>
                      <w:lang w:val="en-US" w:eastAsia="zh-CN"/>
                    </w:rPr>
                    <w:t>个工作</w:t>
                  </w:r>
                  <w:r>
                    <w:rPr>
                      <w:rFonts w:hint="eastAsia" w:ascii="仿宋" w:hAnsi="仿宋" w:eastAsia="仿宋" w:cs="仿宋"/>
                      <w:color w:val="000000"/>
                      <w:sz w:val="24"/>
                      <w:szCs w:val="24"/>
                    </w:rPr>
                    <w:t>日内</w:t>
                  </w:r>
                </w:p>
              </w:tc>
              <w:tc>
                <w:tcPr>
                  <w:tcW w:w="2279"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9B8CF5">
                  <w:pPr>
                    <w:pStyle w:val="16"/>
                    <w:spacing w:line="360"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确认类庭前文书(送达地址确认书、退费确认书等)、代理词及新增证据、送达回证等材料应在接收后3个工作日内上传至电子卷宗。2.线下制作的庭审笔录、调解笔录、阅卷笔录、审理报告、合议庭笔录等其他诉讼文书在完成后3个工作日内上传至电子卷宗;3.其他需要入卷的材料在形成或收到后3个工作日内上传至电子卷宗。</w:t>
                  </w:r>
                </w:p>
              </w:tc>
            </w:tr>
            <w:tr w14:paraId="0A4F94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CEA52F">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6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E1EB8C">
                  <w:pPr>
                    <w:pStyle w:val="16"/>
                    <w:spacing w:line="360" w:lineRule="auto"/>
                    <w:jc w:val="lef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执行</w:t>
                  </w:r>
                </w:p>
              </w:tc>
              <w:tc>
                <w:tcPr>
                  <w:tcW w:w="15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CCC3F3">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最迟</w:t>
                  </w:r>
                  <w:r>
                    <w:rPr>
                      <w:rFonts w:hint="eastAsia" w:ascii="仿宋" w:hAnsi="仿宋" w:eastAsia="仿宋" w:cs="仿宋"/>
                      <w:color w:val="000000"/>
                      <w:sz w:val="24"/>
                      <w:szCs w:val="24"/>
                      <w:lang w:val="en-US" w:eastAsia="zh-CN"/>
                    </w:rPr>
                    <w:t>接收后3个工作</w:t>
                  </w:r>
                  <w:r>
                    <w:rPr>
                      <w:rFonts w:hint="eastAsia" w:ascii="仿宋" w:hAnsi="仿宋" w:eastAsia="仿宋" w:cs="仿宋"/>
                      <w:color w:val="000000"/>
                      <w:sz w:val="24"/>
                      <w:szCs w:val="24"/>
                    </w:rPr>
                    <w:t>日内</w:t>
                  </w:r>
                </w:p>
              </w:tc>
              <w:tc>
                <w:tcPr>
                  <w:tcW w:w="227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5FBD2D">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执行笔录、听证笔录、送达回证、当事人提交的其他相关材料等生成或接收后3个工作日内上传至电子卷宗。</w:t>
                  </w:r>
                </w:p>
              </w:tc>
            </w:tr>
            <w:tr w14:paraId="41532F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2B4C4E">
                  <w:pPr>
                    <w:pStyle w:val="16"/>
                    <w:spacing w:line="360"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6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2ECCE0">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结案</w:t>
                  </w:r>
                </w:p>
              </w:tc>
              <w:tc>
                <w:tcPr>
                  <w:tcW w:w="15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9E69F1">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最迟5日内</w:t>
                  </w:r>
                </w:p>
              </w:tc>
              <w:tc>
                <w:tcPr>
                  <w:tcW w:w="227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F2ED18">
                  <w:pPr>
                    <w:pStyle w:val="16"/>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按照要求补充完整电子卷宗。</w:t>
                  </w:r>
                </w:p>
              </w:tc>
            </w:tr>
          </w:tbl>
          <w:p w14:paraId="6A07897F">
            <w:pPr>
              <w:pStyle w:val="16"/>
              <w:spacing w:line="360" w:lineRule="auto"/>
              <w:ind w:firstLine="480"/>
              <w:jc w:val="left"/>
              <w:rPr>
                <w:rFonts w:hint="eastAsia" w:ascii="仿宋" w:hAnsi="仿宋" w:eastAsia="仿宋" w:cs="仿宋"/>
                <w:sz w:val="24"/>
                <w:szCs w:val="24"/>
              </w:rPr>
            </w:pPr>
          </w:p>
          <w:p w14:paraId="1EBADD76">
            <w:pPr>
              <w:pStyle w:val="16"/>
              <w:spacing w:line="360" w:lineRule="auto"/>
              <w:jc w:val="left"/>
              <w:rPr>
                <w:rFonts w:hint="eastAsia" w:ascii="仿宋" w:hAnsi="仿宋" w:eastAsia="仿宋" w:cs="仿宋"/>
                <w:sz w:val="24"/>
                <w:szCs w:val="24"/>
                <w:lang w:val="en-US" w:eastAsia="zh-CN"/>
              </w:rPr>
            </w:pPr>
            <w:r>
              <w:rPr>
                <w:rFonts w:hint="eastAsia" w:ascii="仿宋" w:hAnsi="仿宋" w:eastAsia="仿宋" w:cs="仿宋"/>
                <w:color w:val="000000"/>
                <w:sz w:val="24"/>
                <w:szCs w:val="24"/>
              </w:rPr>
              <w:t>（四）</w:t>
            </w:r>
            <w:r>
              <w:rPr>
                <w:rFonts w:hint="eastAsia" w:ascii="仿宋" w:hAnsi="仿宋" w:eastAsia="仿宋" w:cs="仿宋"/>
                <w:color w:val="000000"/>
                <w:sz w:val="24"/>
                <w:szCs w:val="24"/>
                <w:lang w:val="en-US" w:eastAsia="zh-CN"/>
              </w:rPr>
              <w:t>技术标准</w:t>
            </w:r>
          </w:p>
          <w:p w14:paraId="3211D640">
            <w:pPr>
              <w:pStyle w:val="16"/>
              <w:spacing w:after="165" w:line="360" w:lineRule="auto"/>
              <w:ind w:firstLine="480"/>
              <w:jc w:val="both"/>
              <w:rPr>
                <w:rFonts w:hint="eastAsia" w:ascii="仿宋" w:hAnsi="仿宋" w:eastAsia="仿宋" w:cs="仿宋"/>
                <w:sz w:val="24"/>
                <w:szCs w:val="24"/>
              </w:rPr>
            </w:pPr>
            <w:r>
              <w:rPr>
                <w:rFonts w:hint="eastAsia" w:ascii="仿宋" w:hAnsi="仿宋" w:eastAsia="仿宋" w:cs="仿宋"/>
                <w:sz w:val="24"/>
                <w:szCs w:val="24"/>
              </w:rPr>
              <w:t>本项目的质量要求按照陕西省高级人民法院对电子档案的建设要求来执行。依据或参照行业的有关标准规范进行项目实施，具体如下：</w:t>
            </w:r>
          </w:p>
          <w:p w14:paraId="0629D27A">
            <w:pPr>
              <w:pStyle w:val="16"/>
              <w:spacing w:after="165" w:line="360" w:lineRule="auto"/>
              <w:ind w:firstLine="480"/>
              <w:jc w:val="both"/>
              <w:rPr>
                <w:rFonts w:hint="eastAsia" w:ascii="仿宋" w:hAnsi="仿宋" w:eastAsia="仿宋" w:cs="仿宋"/>
                <w:sz w:val="24"/>
                <w:szCs w:val="24"/>
              </w:rPr>
            </w:pPr>
            <w:r>
              <w:rPr>
                <w:rFonts w:hint="eastAsia" w:ascii="仿宋" w:hAnsi="仿宋" w:eastAsia="仿宋" w:cs="仿宋"/>
                <w:color w:val="000000"/>
                <w:sz w:val="24"/>
                <w:szCs w:val="24"/>
              </w:rPr>
              <w:t>（一）DA/T 31-2017中华人民共和国档案行业标准《纸质档案数字化技术规范》；</w:t>
            </w:r>
          </w:p>
          <w:p w14:paraId="3C5E97EA">
            <w:pPr>
              <w:pStyle w:val="16"/>
              <w:spacing w:after="165" w:line="360" w:lineRule="auto"/>
              <w:ind w:firstLine="480"/>
              <w:jc w:val="both"/>
              <w:rPr>
                <w:rFonts w:hint="eastAsia" w:ascii="仿宋" w:hAnsi="仿宋" w:eastAsia="仿宋" w:cs="仿宋"/>
                <w:sz w:val="24"/>
                <w:szCs w:val="24"/>
              </w:rPr>
            </w:pPr>
            <w:r>
              <w:rPr>
                <w:rFonts w:hint="eastAsia" w:ascii="仿宋" w:hAnsi="仿宋" w:eastAsia="仿宋" w:cs="仿宋"/>
                <w:color w:val="000000"/>
                <w:sz w:val="24"/>
                <w:szCs w:val="24"/>
              </w:rPr>
              <w:t>（二）DA/T18-1999《档案著录规则》；</w:t>
            </w:r>
          </w:p>
          <w:p w14:paraId="6ECFC309">
            <w:pPr>
              <w:pStyle w:val="16"/>
              <w:spacing w:after="165" w:line="360" w:lineRule="auto"/>
              <w:ind w:firstLine="480"/>
              <w:jc w:val="both"/>
              <w:rPr>
                <w:rFonts w:hint="eastAsia" w:ascii="仿宋" w:hAnsi="仿宋" w:eastAsia="仿宋" w:cs="仿宋"/>
                <w:sz w:val="24"/>
                <w:szCs w:val="24"/>
              </w:rPr>
            </w:pPr>
            <w:r>
              <w:rPr>
                <w:rFonts w:hint="eastAsia" w:ascii="仿宋" w:hAnsi="仿宋" w:eastAsia="仿宋" w:cs="仿宋"/>
                <w:color w:val="000000"/>
                <w:sz w:val="24"/>
                <w:szCs w:val="24"/>
              </w:rPr>
              <w:t>（三）GB/T 18894-2016《电子文档归档与管理规范》；</w:t>
            </w:r>
          </w:p>
          <w:p w14:paraId="1E2652B4">
            <w:pPr>
              <w:pStyle w:val="16"/>
              <w:spacing w:after="165" w:line="360" w:lineRule="auto"/>
              <w:ind w:firstLine="480"/>
              <w:jc w:val="both"/>
              <w:rPr>
                <w:rFonts w:hint="eastAsia" w:ascii="仿宋" w:hAnsi="仿宋" w:eastAsia="仿宋" w:cs="仿宋"/>
                <w:sz w:val="24"/>
                <w:szCs w:val="24"/>
              </w:rPr>
            </w:pPr>
            <w:r>
              <w:rPr>
                <w:rFonts w:hint="eastAsia" w:ascii="仿宋" w:hAnsi="仿宋" w:eastAsia="仿宋" w:cs="仿宋"/>
                <w:color w:val="000000"/>
                <w:sz w:val="24"/>
                <w:szCs w:val="24"/>
              </w:rPr>
              <w:t>（五）《信息技术连续色调静态图像的数字压缩及编码第1部分：要求和指南》GB/T 17235.1-1998;</w:t>
            </w:r>
          </w:p>
          <w:p w14:paraId="0EC950F5">
            <w:pPr>
              <w:pStyle w:val="16"/>
              <w:spacing w:after="165" w:line="360" w:lineRule="auto"/>
              <w:ind w:firstLine="480"/>
              <w:jc w:val="both"/>
              <w:rPr>
                <w:rFonts w:hint="eastAsia" w:ascii="仿宋" w:hAnsi="仿宋" w:eastAsia="仿宋" w:cs="仿宋"/>
                <w:sz w:val="24"/>
                <w:szCs w:val="24"/>
              </w:rPr>
            </w:pPr>
            <w:r>
              <w:rPr>
                <w:rFonts w:hint="eastAsia" w:ascii="仿宋" w:hAnsi="仿宋" w:eastAsia="仿宋" w:cs="仿宋"/>
                <w:color w:val="000000"/>
                <w:sz w:val="24"/>
                <w:szCs w:val="24"/>
              </w:rPr>
              <w:t>（六）《信息技术连续色调静态图像的数字压缩及编码第2部分：一致性测试》GB/T17235.2-1998;</w:t>
            </w:r>
          </w:p>
          <w:p w14:paraId="226B935D">
            <w:pPr>
              <w:pStyle w:val="16"/>
              <w:spacing w:after="165" w:line="360" w:lineRule="auto"/>
              <w:ind w:firstLine="480"/>
              <w:jc w:val="both"/>
              <w:rPr>
                <w:rFonts w:hint="eastAsia" w:ascii="仿宋" w:hAnsi="仿宋" w:eastAsia="仿宋" w:cs="仿宋"/>
                <w:sz w:val="24"/>
                <w:szCs w:val="24"/>
              </w:rPr>
            </w:pPr>
            <w:r>
              <w:rPr>
                <w:rFonts w:hint="eastAsia" w:ascii="仿宋" w:hAnsi="仿宋" w:eastAsia="仿宋" w:cs="仿宋"/>
                <w:color w:val="000000"/>
                <w:sz w:val="24"/>
                <w:szCs w:val="24"/>
              </w:rPr>
              <w:t>（七）最高人民法院《人民法院纸质档案数字化处理规范》2007；</w:t>
            </w:r>
          </w:p>
          <w:p w14:paraId="1D69816F">
            <w:pPr>
              <w:pStyle w:val="16"/>
              <w:spacing w:after="165" w:line="360" w:lineRule="auto"/>
              <w:ind w:firstLine="480"/>
              <w:jc w:val="both"/>
              <w:rPr>
                <w:rFonts w:hint="eastAsia" w:ascii="仿宋" w:hAnsi="仿宋" w:eastAsia="仿宋" w:cs="仿宋"/>
                <w:sz w:val="24"/>
                <w:szCs w:val="24"/>
              </w:rPr>
            </w:pPr>
            <w:r>
              <w:rPr>
                <w:rFonts w:hint="eastAsia" w:ascii="仿宋" w:hAnsi="仿宋" w:eastAsia="仿宋" w:cs="仿宋"/>
                <w:color w:val="000000"/>
                <w:sz w:val="24"/>
                <w:szCs w:val="24"/>
              </w:rPr>
              <w:t>（八）陕西省高级人民法院《关于全省法院卷宗数字化技术要求的通知》陕高法（2017）205号文件</w:t>
            </w:r>
          </w:p>
          <w:p w14:paraId="27B8D478">
            <w:pPr>
              <w:pStyle w:val="16"/>
              <w:spacing w:after="165" w:line="360" w:lineRule="auto"/>
              <w:ind w:firstLine="480"/>
              <w:jc w:val="both"/>
              <w:rPr>
                <w:rFonts w:hint="eastAsia" w:ascii="仿宋" w:hAnsi="仿宋" w:eastAsia="仿宋" w:cs="仿宋"/>
                <w:color w:val="000000"/>
                <w:sz w:val="24"/>
                <w:szCs w:val="24"/>
              </w:rPr>
            </w:pPr>
            <w:r>
              <w:rPr>
                <w:rFonts w:hint="eastAsia" w:ascii="仿宋" w:hAnsi="仿宋" w:eastAsia="仿宋" w:cs="仿宋"/>
                <w:color w:val="000000"/>
                <w:sz w:val="24"/>
                <w:szCs w:val="24"/>
              </w:rPr>
              <w:t>（九）陕西省高级人民法院《关于全省法院卷宗数字化技术要求的通知》陕高法（2017）205号文件</w:t>
            </w:r>
          </w:p>
          <w:p w14:paraId="5DFF1D93">
            <w:pPr>
              <w:pStyle w:val="16"/>
              <w:spacing w:after="165" w:line="360" w:lineRule="auto"/>
              <w:ind w:firstLine="480"/>
              <w:jc w:val="both"/>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十</w:t>
            </w:r>
            <w:r>
              <w:rPr>
                <w:rFonts w:hint="eastAsia" w:ascii="仿宋" w:hAnsi="仿宋" w:eastAsia="仿宋" w:cs="仿宋"/>
                <w:color w:val="000000"/>
                <w:sz w:val="24"/>
                <w:szCs w:val="24"/>
                <w:lang w:eastAsia="zh-CN"/>
              </w:rPr>
              <w:t>）陕西省高级人民法院关于印发《陕西法院电子卷宗随案同步生成工作规范(试行)》的通知</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陕高法发[2026]3号</w:t>
            </w:r>
          </w:p>
          <w:p w14:paraId="210BBCFE">
            <w:pPr>
              <w:pStyle w:val="16"/>
              <w:spacing w:line="360" w:lineRule="auto"/>
              <w:jc w:val="both"/>
              <w:rPr>
                <w:rFonts w:hint="default" w:ascii="仿宋" w:hAnsi="仿宋" w:eastAsia="仿宋" w:cs="仿宋"/>
                <w:sz w:val="24"/>
                <w:szCs w:val="24"/>
                <w:lang w:val="en-US" w:eastAsia="zh-CN"/>
              </w:rPr>
            </w:pPr>
            <w:r>
              <w:rPr>
                <w:rFonts w:hint="eastAsia" w:ascii="仿宋" w:hAnsi="仿宋" w:eastAsia="仿宋" w:cs="仿宋"/>
                <w:color w:val="000000"/>
                <w:sz w:val="24"/>
                <w:szCs w:val="24"/>
                <w:lang w:val="en-US" w:eastAsia="zh-CN"/>
              </w:rPr>
              <w:t>辅助软件要求：</w:t>
            </w:r>
          </w:p>
          <w:p w14:paraId="1ECD0E8A">
            <w:pPr>
              <w:pStyle w:val="16"/>
              <w:spacing w:line="360" w:lineRule="auto"/>
              <w:ind w:firstLine="480"/>
              <w:jc w:val="left"/>
              <w:rPr>
                <w:rFonts w:hint="eastAsia" w:ascii="仿宋" w:hAnsi="仿宋" w:eastAsia="仿宋" w:cs="仿宋"/>
                <w:sz w:val="24"/>
                <w:szCs w:val="24"/>
              </w:rPr>
            </w:pPr>
            <w:r>
              <w:rPr>
                <w:rFonts w:hint="eastAsia" w:ascii="仿宋" w:hAnsi="仿宋" w:eastAsia="仿宋" w:cs="仿宋"/>
                <w:color w:val="000000"/>
                <w:sz w:val="24"/>
                <w:szCs w:val="24"/>
              </w:rPr>
              <w:t>全院民商案件电子卷宗随案同步生成及刑事、执行案件的档案数字化工作。按照无纸化办案标准，对全院民商事案件的全流程纸质卷宗进行随案同步生成电子卷宗;对全院执行、刑事案件结案后的档案材料进行数字化并整卷归档。</w:t>
            </w:r>
          </w:p>
        </w:tc>
      </w:tr>
      <w:tr w14:paraId="092265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7B0F9326">
            <w:pPr>
              <w:pStyle w:val="16"/>
              <w:spacing w:line="360" w:lineRule="auto"/>
              <w:rPr>
                <w:rFonts w:hint="eastAsia" w:ascii="仿宋" w:hAnsi="仿宋" w:eastAsia="仿宋" w:cs="仿宋"/>
                <w:sz w:val="24"/>
                <w:szCs w:val="24"/>
              </w:rPr>
            </w:pPr>
            <w:r>
              <w:rPr>
                <w:rFonts w:hint="eastAsia" w:ascii="仿宋" w:hAnsi="仿宋" w:eastAsia="仿宋" w:cs="仿宋"/>
                <w:sz w:val="24"/>
                <w:szCs w:val="24"/>
              </w:rPr>
              <w:t>2</w:t>
            </w:r>
          </w:p>
        </w:tc>
        <w:tc>
          <w:tcPr>
            <w:tcW w:w="416" w:type="pct"/>
          </w:tcPr>
          <w:p w14:paraId="7CF3536F">
            <w:pPr>
              <w:spacing w:line="360" w:lineRule="auto"/>
              <w:rPr>
                <w:rFonts w:hint="eastAsia" w:ascii="仿宋" w:hAnsi="仿宋" w:eastAsia="仿宋" w:cs="仿宋"/>
                <w:sz w:val="24"/>
                <w:szCs w:val="24"/>
              </w:rPr>
            </w:pPr>
          </w:p>
        </w:tc>
        <w:tc>
          <w:tcPr>
            <w:tcW w:w="4120" w:type="pct"/>
            <w:vMerge w:val="continue"/>
          </w:tcPr>
          <w:p w14:paraId="4DA46EAF">
            <w:pPr>
              <w:pStyle w:val="16"/>
              <w:spacing w:line="360" w:lineRule="auto"/>
              <w:jc w:val="left"/>
              <w:rPr>
                <w:rFonts w:hint="eastAsia" w:ascii="仿宋" w:hAnsi="仿宋" w:eastAsia="仿宋" w:cs="仿宋"/>
                <w:color w:val="000000"/>
                <w:sz w:val="24"/>
                <w:szCs w:val="24"/>
                <w:lang w:eastAsia="zh-CN"/>
              </w:rPr>
            </w:pPr>
          </w:p>
        </w:tc>
      </w:tr>
      <w:tr w14:paraId="57ADEE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46CA2310">
            <w:pPr>
              <w:pStyle w:val="16"/>
              <w:spacing w:line="360" w:lineRule="auto"/>
              <w:rPr>
                <w:rFonts w:hint="eastAsia" w:ascii="仿宋" w:hAnsi="仿宋" w:eastAsia="仿宋" w:cs="仿宋"/>
                <w:sz w:val="24"/>
                <w:szCs w:val="24"/>
              </w:rPr>
            </w:pPr>
            <w:r>
              <w:rPr>
                <w:rFonts w:hint="eastAsia" w:ascii="仿宋" w:hAnsi="仿宋" w:eastAsia="仿宋" w:cs="仿宋"/>
                <w:sz w:val="24"/>
                <w:szCs w:val="24"/>
              </w:rPr>
              <w:t>3</w:t>
            </w:r>
          </w:p>
        </w:tc>
        <w:tc>
          <w:tcPr>
            <w:tcW w:w="416" w:type="pct"/>
          </w:tcPr>
          <w:p w14:paraId="238DD148">
            <w:pPr>
              <w:spacing w:line="360" w:lineRule="auto"/>
              <w:rPr>
                <w:rFonts w:hint="eastAsia" w:ascii="仿宋" w:hAnsi="仿宋" w:eastAsia="仿宋" w:cs="仿宋"/>
                <w:sz w:val="24"/>
                <w:szCs w:val="24"/>
              </w:rPr>
            </w:pPr>
          </w:p>
        </w:tc>
        <w:tc>
          <w:tcPr>
            <w:tcW w:w="4120" w:type="pct"/>
            <w:vMerge w:val="continue"/>
          </w:tcPr>
          <w:p w14:paraId="59F66C84">
            <w:pPr>
              <w:pStyle w:val="16"/>
              <w:spacing w:line="360" w:lineRule="auto"/>
              <w:ind w:firstLine="480"/>
              <w:jc w:val="left"/>
              <w:rPr>
                <w:rFonts w:hint="eastAsia" w:ascii="仿宋" w:hAnsi="仿宋" w:eastAsia="仿宋" w:cs="仿宋"/>
                <w:sz w:val="24"/>
                <w:szCs w:val="24"/>
              </w:rPr>
            </w:pPr>
          </w:p>
        </w:tc>
      </w:tr>
      <w:tr w14:paraId="3EF8FE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24B7601A">
            <w:pPr>
              <w:pStyle w:val="16"/>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416" w:type="pct"/>
          </w:tcPr>
          <w:p w14:paraId="2AEEBD81">
            <w:pPr>
              <w:spacing w:line="360" w:lineRule="auto"/>
              <w:rPr>
                <w:rFonts w:hint="eastAsia" w:ascii="仿宋" w:hAnsi="仿宋" w:eastAsia="仿宋" w:cs="仿宋"/>
                <w:sz w:val="24"/>
                <w:szCs w:val="24"/>
              </w:rPr>
            </w:pPr>
          </w:p>
        </w:tc>
        <w:tc>
          <w:tcPr>
            <w:tcW w:w="4120" w:type="pct"/>
            <w:vMerge w:val="continue"/>
          </w:tcPr>
          <w:p w14:paraId="2689D157">
            <w:pPr>
              <w:pStyle w:val="16"/>
              <w:spacing w:after="165" w:line="360" w:lineRule="auto"/>
              <w:ind w:firstLine="480"/>
              <w:jc w:val="both"/>
              <w:rPr>
                <w:rFonts w:hint="eastAsia" w:ascii="仿宋" w:hAnsi="仿宋" w:eastAsia="仿宋" w:cs="仿宋"/>
                <w:color w:val="000000"/>
                <w:sz w:val="24"/>
                <w:szCs w:val="24"/>
                <w:lang w:eastAsia="zh-CN"/>
              </w:rPr>
            </w:pPr>
          </w:p>
        </w:tc>
      </w:tr>
      <w:tr w14:paraId="55D503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0C80510F">
            <w:pPr>
              <w:pStyle w:val="16"/>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p>
        </w:tc>
        <w:tc>
          <w:tcPr>
            <w:tcW w:w="416" w:type="pct"/>
          </w:tcPr>
          <w:p w14:paraId="73C10E99">
            <w:pPr>
              <w:spacing w:line="360" w:lineRule="auto"/>
              <w:rPr>
                <w:rFonts w:hint="eastAsia" w:ascii="仿宋" w:hAnsi="仿宋" w:eastAsia="仿宋" w:cs="仿宋"/>
                <w:sz w:val="24"/>
                <w:szCs w:val="24"/>
              </w:rPr>
            </w:pPr>
          </w:p>
        </w:tc>
        <w:tc>
          <w:tcPr>
            <w:tcW w:w="4120" w:type="pct"/>
            <w:vMerge w:val="continue"/>
          </w:tcPr>
          <w:p w14:paraId="210A2080">
            <w:pPr>
              <w:pStyle w:val="16"/>
              <w:spacing w:line="360" w:lineRule="auto"/>
              <w:ind w:firstLine="480"/>
              <w:jc w:val="left"/>
              <w:rPr>
                <w:rFonts w:hint="eastAsia" w:ascii="仿宋" w:hAnsi="仿宋" w:eastAsia="仿宋" w:cs="仿宋"/>
                <w:sz w:val="24"/>
                <w:szCs w:val="24"/>
              </w:rPr>
            </w:pPr>
          </w:p>
        </w:tc>
      </w:tr>
      <w:tr w14:paraId="462A4B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11A0E08F">
            <w:pPr>
              <w:pStyle w:val="16"/>
              <w:spacing w:line="360" w:lineRule="auto"/>
              <w:rPr>
                <w:rFonts w:hint="eastAsia" w:ascii="仿宋" w:hAnsi="仿宋" w:eastAsia="仿宋" w:cs="仿宋"/>
                <w:sz w:val="24"/>
                <w:szCs w:val="24"/>
                <w:highlight w:val="none"/>
                <w:lang w:val="en-US" w:eastAsia="zh-CN"/>
              </w:rPr>
            </w:pPr>
          </w:p>
        </w:tc>
        <w:tc>
          <w:tcPr>
            <w:tcW w:w="416" w:type="pct"/>
            <w:shd w:val="clear" w:color="auto" w:fill="auto"/>
            <w:vAlign w:val="center"/>
          </w:tcPr>
          <w:p w14:paraId="5C133991">
            <w:pPr>
              <w:spacing w:line="360" w:lineRule="auto"/>
              <w:ind w:left="42" w:leftChars="20"/>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采购预算</w:t>
            </w:r>
          </w:p>
        </w:tc>
        <w:tc>
          <w:tcPr>
            <w:tcW w:w="4120" w:type="pct"/>
            <w:shd w:val="clear" w:color="auto" w:fill="auto"/>
            <w:vAlign w:val="center"/>
          </w:tcPr>
          <w:p w14:paraId="62EDDE0C">
            <w:pPr>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采购总预算：</w:t>
            </w:r>
            <w:r>
              <w:rPr>
                <w:rFonts w:hint="eastAsia" w:ascii="仿宋" w:hAnsi="仿宋" w:eastAsia="仿宋" w:cs="仿宋"/>
                <w:color w:val="auto"/>
                <w:sz w:val="24"/>
                <w:szCs w:val="24"/>
                <w:highlight w:val="none"/>
                <w:lang w:val="en-US" w:eastAsia="zh-CN"/>
              </w:rPr>
              <w:t>人民币</w:t>
            </w:r>
            <w:r>
              <w:rPr>
                <w:rFonts w:hint="eastAsia" w:ascii="仿宋" w:hAnsi="仿宋" w:eastAsia="仿宋" w:cs="仿宋"/>
                <w:color w:val="auto"/>
                <w:sz w:val="24"/>
                <w:szCs w:val="24"/>
                <w:highlight w:val="none"/>
                <w:u w:val="single"/>
                <w:lang w:val="en-US" w:eastAsia="zh-CN"/>
              </w:rPr>
              <w:t>壹佰叁拾万零贰仟叁佰元整</w:t>
            </w:r>
            <w:r>
              <w:rPr>
                <w:rFonts w:hint="eastAsia" w:ascii="仿宋" w:hAnsi="仿宋" w:eastAsia="仿宋" w:cs="仿宋"/>
                <w:color w:val="auto"/>
                <w:sz w:val="24"/>
                <w:szCs w:val="24"/>
                <w:highlight w:val="none"/>
                <w:lang w:val="en-US" w:eastAsia="zh-CN"/>
              </w:rPr>
              <w:t>（</w:t>
            </w:r>
            <w:r>
              <w:rPr>
                <w:rFonts w:hint="default" w:ascii="仿宋" w:hAnsi="仿宋" w:eastAsia="仿宋" w:cs="仿宋"/>
                <w:color w:val="auto"/>
                <w:sz w:val="24"/>
                <w:szCs w:val="24"/>
                <w:highlight w:val="none"/>
                <w:lang w:val="en-US" w:eastAsia="zh-CN"/>
              </w:rPr>
              <w:t>¥</w:t>
            </w:r>
            <w:r>
              <w:rPr>
                <w:rFonts w:hint="eastAsia" w:ascii="仿宋" w:hAnsi="仿宋" w:eastAsia="仿宋" w:cs="仿宋"/>
                <w:color w:val="000000"/>
                <w:kern w:val="0"/>
                <w:sz w:val="24"/>
                <w:highlight w:val="none"/>
                <w:lang w:val="en-US" w:eastAsia="zh-CN" w:bidi="ar"/>
              </w:rPr>
              <w:t>1,302,300.00</w:t>
            </w:r>
            <w:r>
              <w:rPr>
                <w:rFonts w:hint="eastAsia" w:ascii="仿宋" w:hAnsi="仿宋" w:eastAsia="仿宋" w:cs="仿宋"/>
                <w:color w:val="auto"/>
                <w:sz w:val="24"/>
                <w:szCs w:val="24"/>
                <w:highlight w:val="none"/>
                <w:lang w:val="en-US" w:eastAsia="zh-CN"/>
              </w:rPr>
              <w:t>）；</w:t>
            </w:r>
          </w:p>
          <w:p w14:paraId="1410625C">
            <w:pPr>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民商事案件电子卷宗综合单价预算</w:t>
            </w:r>
            <w:r>
              <w:rPr>
                <w:rFonts w:hint="eastAsia" w:ascii="仿宋" w:hAnsi="仿宋" w:eastAsia="仿宋" w:cs="仿宋"/>
                <w:color w:val="auto"/>
                <w:sz w:val="24"/>
                <w:szCs w:val="24"/>
                <w:highlight w:val="none"/>
                <w:lang w:val="en-US" w:eastAsia="zh-CN"/>
              </w:rPr>
              <w:t>：¥65</w:t>
            </w:r>
            <w:r>
              <w:rPr>
                <w:rFonts w:hint="eastAsia" w:ascii="仿宋" w:hAnsi="仿宋" w:eastAsia="仿宋" w:cs="Times New Roman"/>
                <w:b w:val="0"/>
                <w:bCs/>
                <w:sz w:val="24"/>
                <w:szCs w:val="24"/>
                <w:highlight w:val="none"/>
                <w:lang w:val="en-US" w:eastAsia="zh-CN"/>
              </w:rPr>
              <w:t>.00</w:t>
            </w:r>
            <w:r>
              <w:rPr>
                <w:rFonts w:hint="eastAsia" w:ascii="仿宋" w:hAnsi="仿宋" w:eastAsia="仿宋" w:cs="仿宋"/>
                <w:color w:val="auto"/>
                <w:sz w:val="24"/>
                <w:szCs w:val="24"/>
                <w:highlight w:val="none"/>
                <w:lang w:val="en-US" w:eastAsia="zh-CN"/>
              </w:rPr>
              <w:t>/</w:t>
            </w:r>
            <w:r>
              <w:rPr>
                <w:rFonts w:hint="default" w:ascii="仿宋" w:hAnsi="仿宋" w:eastAsia="仿宋" w:cs="Times New Roman"/>
                <w:b w:val="0"/>
                <w:bCs/>
                <w:sz w:val="24"/>
                <w:szCs w:val="24"/>
                <w:highlight w:val="none"/>
                <w:lang w:val="en-US" w:eastAsia="zh-CN"/>
              </w:rPr>
              <w:t>案</w:t>
            </w:r>
          </w:p>
          <w:p w14:paraId="4A878A84">
            <w:pPr>
              <w:spacing w:line="360" w:lineRule="auto"/>
              <w:rPr>
                <w:rFonts w:hint="default" w:ascii="仿宋" w:hAnsi="仿宋" w:eastAsia="仿宋" w:cs="Times New Roman"/>
                <w:b w:val="0"/>
                <w:bCs/>
                <w:sz w:val="24"/>
                <w:szCs w:val="24"/>
                <w:highlight w:val="none"/>
                <w:lang w:val="en-US" w:eastAsia="zh-CN"/>
              </w:rPr>
            </w:pPr>
            <w:r>
              <w:rPr>
                <w:rFonts w:hint="eastAsia" w:ascii="仿宋" w:hAnsi="仿宋" w:eastAsia="仿宋" w:cs="Times New Roman"/>
                <w:b/>
                <w:bCs w:val="0"/>
                <w:sz w:val="24"/>
                <w:szCs w:val="24"/>
                <w:highlight w:val="none"/>
                <w:lang w:val="en-US" w:eastAsia="zh-CN"/>
              </w:rPr>
              <w:t>刑事和执行案件电子卷宗综合单价预算</w:t>
            </w:r>
            <w:r>
              <w:rPr>
                <w:rFonts w:hint="eastAsia" w:ascii="仿宋" w:hAnsi="仿宋" w:eastAsia="仿宋" w:cs="Times New Roman"/>
                <w:b w:val="0"/>
                <w:bCs/>
                <w:sz w:val="24"/>
                <w:szCs w:val="24"/>
                <w:highlight w:val="none"/>
                <w:lang w:val="en-US" w:eastAsia="zh-CN"/>
              </w:rPr>
              <w:t>：</w:t>
            </w:r>
            <w:r>
              <w:rPr>
                <w:rFonts w:hint="default" w:ascii="仿宋" w:hAnsi="仿宋" w:eastAsia="仿宋" w:cs="Times New Roman"/>
                <w:b w:val="0"/>
                <w:bCs/>
                <w:sz w:val="24"/>
                <w:szCs w:val="24"/>
                <w:highlight w:val="none"/>
                <w:lang w:val="en-US" w:eastAsia="zh-CN"/>
              </w:rPr>
              <w:t>¥</w:t>
            </w:r>
            <w:r>
              <w:rPr>
                <w:rFonts w:hint="eastAsia" w:ascii="仿宋" w:hAnsi="仿宋" w:eastAsia="仿宋" w:cs="Times New Roman"/>
                <w:b w:val="0"/>
                <w:bCs/>
                <w:sz w:val="24"/>
                <w:szCs w:val="24"/>
                <w:highlight w:val="none"/>
                <w:lang w:val="en-US" w:eastAsia="zh-CN"/>
              </w:rPr>
              <w:t>0.45</w:t>
            </w:r>
            <w:r>
              <w:rPr>
                <w:rFonts w:hint="default" w:ascii="仿宋" w:hAnsi="仿宋" w:eastAsia="仿宋" w:cs="Times New Roman"/>
                <w:b w:val="0"/>
                <w:bCs/>
                <w:sz w:val="24"/>
                <w:szCs w:val="24"/>
                <w:highlight w:val="none"/>
                <w:lang w:val="en-US" w:eastAsia="zh-CN"/>
              </w:rPr>
              <w:t>/</w:t>
            </w:r>
            <w:r>
              <w:rPr>
                <w:rFonts w:hint="eastAsia" w:ascii="仿宋" w:hAnsi="仿宋" w:eastAsia="仿宋" w:cs="Times New Roman"/>
                <w:b w:val="0"/>
                <w:bCs/>
                <w:sz w:val="24"/>
                <w:szCs w:val="24"/>
                <w:highlight w:val="none"/>
                <w:lang w:val="en-US" w:eastAsia="zh-CN"/>
              </w:rPr>
              <w:t>页</w:t>
            </w:r>
          </w:p>
          <w:p w14:paraId="2BEE83BA">
            <w:pPr>
              <w:spacing w:line="360" w:lineRule="auto"/>
              <w:ind w:left="42" w:leftChars="20"/>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磋商</w:t>
            </w:r>
            <w:r>
              <w:rPr>
                <w:rFonts w:hint="eastAsia" w:ascii="仿宋" w:hAnsi="仿宋" w:eastAsia="仿宋" w:cs="仿宋"/>
                <w:b w:val="0"/>
                <w:bCs w:val="0"/>
                <w:sz w:val="24"/>
                <w:szCs w:val="24"/>
                <w:highlight w:val="none"/>
              </w:rPr>
              <w:t>总报价</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磋商</w:t>
            </w:r>
            <w:r>
              <w:rPr>
                <w:rFonts w:hint="eastAsia" w:ascii="仿宋" w:hAnsi="仿宋" w:eastAsia="仿宋" w:cs="仿宋"/>
                <w:b w:val="0"/>
                <w:bCs w:val="0"/>
                <w:color w:val="auto"/>
                <w:sz w:val="24"/>
                <w:szCs w:val="24"/>
                <w:highlight w:val="none"/>
                <w:u w:val="none"/>
                <w:lang w:val="en-US" w:eastAsia="zh-CN"/>
              </w:rPr>
              <w:t>综合单价</w:t>
            </w:r>
            <w:r>
              <w:rPr>
                <w:rFonts w:hint="eastAsia" w:ascii="仿宋" w:hAnsi="仿宋" w:eastAsia="仿宋" w:cs="仿宋"/>
                <w:b w:val="0"/>
                <w:bCs w:val="0"/>
                <w:sz w:val="24"/>
                <w:szCs w:val="24"/>
                <w:highlight w:val="none"/>
              </w:rPr>
              <w:t>高于竞争性磋商文件公布的</w:t>
            </w:r>
            <w:r>
              <w:rPr>
                <w:rFonts w:hint="eastAsia" w:ascii="仿宋" w:hAnsi="仿宋" w:eastAsia="仿宋" w:cs="仿宋"/>
                <w:b w:val="0"/>
                <w:bCs w:val="0"/>
                <w:sz w:val="24"/>
                <w:szCs w:val="24"/>
                <w:highlight w:val="none"/>
                <w:lang w:val="en-US" w:eastAsia="zh-CN"/>
              </w:rPr>
              <w:t>采购总预算或磋商</w:t>
            </w:r>
            <w:r>
              <w:rPr>
                <w:rFonts w:hint="eastAsia" w:ascii="仿宋" w:hAnsi="仿宋" w:eastAsia="仿宋" w:cs="仿宋"/>
                <w:b w:val="0"/>
                <w:bCs w:val="0"/>
                <w:color w:val="auto"/>
                <w:sz w:val="24"/>
                <w:szCs w:val="24"/>
                <w:highlight w:val="none"/>
                <w:u w:val="none"/>
                <w:lang w:val="en-US" w:eastAsia="zh-CN"/>
              </w:rPr>
              <w:t>综合单价</w:t>
            </w:r>
            <w:r>
              <w:rPr>
                <w:rFonts w:hint="eastAsia" w:ascii="仿宋" w:hAnsi="仿宋" w:eastAsia="仿宋" w:cs="仿宋"/>
                <w:b w:val="0"/>
                <w:bCs w:val="0"/>
                <w:sz w:val="24"/>
                <w:szCs w:val="24"/>
                <w:highlight w:val="none"/>
              </w:rPr>
              <w:t>的将被视为无效</w:t>
            </w:r>
            <w:r>
              <w:rPr>
                <w:rFonts w:hint="eastAsia" w:ascii="仿宋" w:hAnsi="仿宋" w:eastAsia="仿宋" w:cs="仿宋"/>
                <w:b w:val="0"/>
                <w:bCs w:val="0"/>
                <w:sz w:val="24"/>
                <w:szCs w:val="24"/>
                <w:highlight w:val="none"/>
                <w:lang w:val="en-US" w:eastAsia="zh-CN"/>
              </w:rPr>
              <w:t>报价。</w:t>
            </w:r>
          </w:p>
        </w:tc>
      </w:tr>
      <w:tr w14:paraId="061FB5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0D8D1D0D">
            <w:pPr>
              <w:pStyle w:val="16"/>
              <w:spacing w:line="360" w:lineRule="auto"/>
              <w:rPr>
                <w:rFonts w:hint="eastAsia" w:ascii="仿宋" w:hAnsi="仿宋" w:eastAsia="仿宋" w:cs="仿宋"/>
                <w:sz w:val="24"/>
                <w:szCs w:val="24"/>
                <w:highlight w:val="none"/>
                <w:lang w:val="en-US" w:eastAsia="zh-CN"/>
              </w:rPr>
            </w:pPr>
          </w:p>
        </w:tc>
        <w:tc>
          <w:tcPr>
            <w:tcW w:w="416" w:type="pct"/>
            <w:shd w:val="clear" w:color="auto" w:fill="auto"/>
            <w:vAlign w:val="center"/>
          </w:tcPr>
          <w:p w14:paraId="4931B552">
            <w:pPr>
              <w:spacing w:line="360" w:lineRule="auto"/>
              <w:ind w:left="42" w:leftChars="2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采购数量</w:t>
            </w:r>
          </w:p>
        </w:tc>
        <w:tc>
          <w:tcPr>
            <w:tcW w:w="4120" w:type="pct"/>
            <w:shd w:val="clear" w:color="auto" w:fill="auto"/>
            <w:vAlign w:val="center"/>
          </w:tcPr>
          <w:p w14:paraId="36FB15A7">
            <w:pPr>
              <w:spacing w:line="360" w:lineRule="auto"/>
              <w:ind w:left="42" w:leftChars="20"/>
              <w:jc w:val="both"/>
              <w:rPr>
                <w:rFonts w:hint="default" w:ascii="仿宋" w:hAnsi="仿宋" w:eastAsia="仿宋" w:cs="仿宋"/>
                <w:b w:val="0"/>
                <w:bCs w:val="0"/>
                <w:sz w:val="24"/>
                <w:szCs w:val="24"/>
                <w:highlight w:val="none"/>
                <w:lang w:val="en-US" w:eastAsia="zh-CN"/>
              </w:rPr>
            </w:pPr>
            <w:r>
              <w:rPr>
                <w:rFonts w:hint="eastAsia" w:ascii="仿宋" w:hAnsi="仿宋" w:eastAsia="仿宋" w:cs="仿宋"/>
                <w:b/>
                <w:bCs/>
                <w:color w:val="auto"/>
                <w:sz w:val="24"/>
                <w:szCs w:val="24"/>
                <w:highlight w:val="none"/>
                <w:lang w:val="en-US" w:eastAsia="zh-CN"/>
              </w:rPr>
              <w:t>民商事案件：</w:t>
            </w:r>
            <w:r>
              <w:rPr>
                <w:rFonts w:hint="eastAsia" w:ascii="仿宋" w:hAnsi="仿宋" w:eastAsia="仿宋" w:cs="Times New Roman"/>
                <w:b/>
                <w:bCs w:val="0"/>
                <w:sz w:val="24"/>
                <w:szCs w:val="24"/>
                <w:highlight w:val="none"/>
                <w:lang w:val="en-US" w:eastAsia="zh-CN"/>
              </w:rPr>
              <w:t>约</w:t>
            </w:r>
            <w:r>
              <w:rPr>
                <w:rFonts w:hint="eastAsia" w:ascii="仿宋" w:hAnsi="仿宋" w:eastAsia="仿宋" w:cs="仿宋"/>
                <w:b w:val="0"/>
                <w:bCs w:val="0"/>
                <w:sz w:val="24"/>
                <w:szCs w:val="24"/>
                <w:highlight w:val="none"/>
                <w:lang w:val="en-US" w:eastAsia="zh-CN"/>
              </w:rPr>
              <w:t>17250案</w:t>
            </w:r>
          </w:p>
          <w:p w14:paraId="4E58EA9B">
            <w:pPr>
              <w:pStyle w:val="2"/>
              <w:rPr>
                <w:rFonts w:hint="default"/>
                <w:highlight w:val="none"/>
                <w:lang w:val="en-US" w:eastAsia="zh-CN"/>
              </w:rPr>
            </w:pPr>
            <w:r>
              <w:rPr>
                <w:rFonts w:hint="eastAsia" w:ascii="仿宋" w:hAnsi="仿宋" w:eastAsia="仿宋" w:cs="Times New Roman"/>
                <w:b/>
                <w:bCs w:val="0"/>
                <w:sz w:val="24"/>
                <w:szCs w:val="24"/>
                <w:highlight w:val="none"/>
                <w:lang w:val="en-US" w:eastAsia="zh-CN"/>
              </w:rPr>
              <w:t>刑事和执行案件：约</w:t>
            </w:r>
            <w:r>
              <w:rPr>
                <w:rFonts w:hint="eastAsia" w:ascii="仿宋" w:hAnsi="仿宋" w:eastAsia="仿宋" w:cs="仿宋"/>
                <w:b w:val="0"/>
                <w:bCs w:val="0"/>
                <w:sz w:val="24"/>
                <w:szCs w:val="24"/>
                <w:highlight w:val="none"/>
                <w:lang w:val="en-US" w:eastAsia="zh-CN"/>
              </w:rPr>
              <w:t>5750案，70页/案</w:t>
            </w:r>
          </w:p>
        </w:tc>
      </w:tr>
      <w:tr w14:paraId="77AF97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55CA0171">
            <w:pPr>
              <w:pStyle w:val="16"/>
              <w:spacing w:line="360" w:lineRule="auto"/>
              <w:rPr>
                <w:rFonts w:hint="eastAsia" w:ascii="仿宋" w:hAnsi="仿宋" w:eastAsia="仿宋" w:cs="仿宋"/>
                <w:sz w:val="24"/>
                <w:szCs w:val="24"/>
                <w:highlight w:val="none"/>
                <w:lang w:val="en-US" w:eastAsia="zh-CN"/>
              </w:rPr>
            </w:pPr>
          </w:p>
        </w:tc>
        <w:tc>
          <w:tcPr>
            <w:tcW w:w="416" w:type="pct"/>
            <w:shd w:val="clear" w:color="auto" w:fill="auto"/>
            <w:vAlign w:val="center"/>
          </w:tcPr>
          <w:p w14:paraId="098CA49D">
            <w:pPr>
              <w:spacing w:line="360" w:lineRule="auto"/>
              <w:ind w:left="42" w:leftChars="2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结算</w:t>
            </w:r>
          </w:p>
        </w:tc>
        <w:tc>
          <w:tcPr>
            <w:tcW w:w="4120" w:type="pct"/>
            <w:shd w:val="clear" w:color="auto" w:fill="auto"/>
            <w:vAlign w:val="center"/>
          </w:tcPr>
          <w:p w14:paraId="1F39A320">
            <w:pPr>
              <w:pStyle w:val="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根据实际完成数量及成交综合单价据实结算。</w:t>
            </w:r>
          </w:p>
          <w:p w14:paraId="6F848D58">
            <w:pPr>
              <w:pStyle w:val="2"/>
              <w:rPr>
                <w:rFonts w:hint="eastAsia" w:ascii="仿宋" w:hAnsi="仿宋" w:eastAsia="仿宋" w:cs="Times New Roman"/>
                <w:b/>
                <w:bCs w:val="0"/>
                <w:sz w:val="24"/>
                <w:szCs w:val="24"/>
                <w:highlight w:val="none"/>
                <w:lang w:val="en-US" w:eastAsia="zh-CN"/>
              </w:rPr>
            </w:pPr>
            <w:r>
              <w:rPr>
                <w:rFonts w:hint="eastAsia" w:ascii="仿宋" w:hAnsi="仿宋" w:eastAsia="仿宋" w:cs="仿宋"/>
                <w:color w:val="auto"/>
                <w:sz w:val="24"/>
                <w:szCs w:val="24"/>
                <w:highlight w:val="none"/>
                <w:lang w:val="en-US" w:eastAsia="zh-CN"/>
              </w:rPr>
              <w:t>民商事案件电子卷宗成交综合单价</w:t>
            </w:r>
            <w:r>
              <w:rPr>
                <w:rFonts w:hint="eastAsia" w:ascii="仿宋" w:hAnsi="仿宋" w:eastAsia="仿宋" w:cs="仿宋"/>
                <w:b w:val="0"/>
                <w:bCs/>
                <w:sz w:val="24"/>
                <w:szCs w:val="24"/>
                <w:highlight w:val="none"/>
                <w:lang w:val="en-US" w:eastAsia="zh-CN"/>
              </w:rPr>
              <w:t>×实际完成案件数</w:t>
            </w:r>
            <w:r>
              <w:rPr>
                <w:rFonts w:hint="eastAsia" w:ascii="仿宋" w:hAnsi="仿宋" w:eastAsia="仿宋" w:cs="仿宋"/>
                <w:color w:val="auto"/>
                <w:sz w:val="24"/>
                <w:szCs w:val="24"/>
                <w:highlight w:val="none"/>
                <w:lang w:val="en-US" w:eastAsia="zh-CN"/>
              </w:rPr>
              <w:t>＋</w:t>
            </w:r>
            <w:bookmarkStart w:id="0" w:name="OLE_LINK1"/>
            <w:r>
              <w:rPr>
                <w:rFonts w:hint="eastAsia" w:ascii="仿宋" w:hAnsi="仿宋" w:eastAsia="仿宋" w:cs="仿宋"/>
                <w:color w:val="auto"/>
                <w:sz w:val="24"/>
                <w:szCs w:val="24"/>
                <w:highlight w:val="none"/>
                <w:lang w:val="en-US" w:eastAsia="zh-CN"/>
              </w:rPr>
              <w:t>刑事和执行案件电子卷宗成交综合单价</w:t>
            </w:r>
            <w:r>
              <w:rPr>
                <w:rFonts w:hint="eastAsia" w:ascii="仿宋" w:hAnsi="仿宋" w:eastAsia="仿宋" w:cs="仿宋"/>
                <w:b w:val="0"/>
                <w:bCs/>
                <w:sz w:val="24"/>
                <w:szCs w:val="24"/>
                <w:highlight w:val="none"/>
                <w:lang w:val="en-US" w:eastAsia="zh-CN"/>
              </w:rPr>
              <w:t>×</w:t>
            </w:r>
            <w:bookmarkEnd w:id="0"/>
            <w:r>
              <w:rPr>
                <w:rFonts w:hint="eastAsia" w:ascii="仿宋" w:hAnsi="仿宋" w:eastAsia="仿宋" w:cs="仿宋"/>
                <w:color w:val="auto"/>
                <w:sz w:val="24"/>
                <w:szCs w:val="24"/>
                <w:highlight w:val="none"/>
                <w:u w:val="none"/>
                <w:lang w:val="en-US" w:eastAsia="zh-CN"/>
              </w:rPr>
              <w:t>实际完成页数；</w:t>
            </w:r>
          </w:p>
        </w:tc>
      </w:tr>
      <w:tr w14:paraId="1EEF77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2" w:type="pct"/>
          </w:tcPr>
          <w:p w14:paraId="01CD68D5">
            <w:pPr>
              <w:pStyle w:val="16"/>
              <w:spacing w:line="360" w:lineRule="auto"/>
              <w:rPr>
                <w:rFonts w:hint="eastAsia" w:ascii="仿宋" w:hAnsi="仿宋" w:eastAsia="仿宋" w:cs="仿宋"/>
                <w:sz w:val="24"/>
                <w:szCs w:val="24"/>
                <w:highlight w:val="none"/>
                <w:lang w:val="en-US" w:eastAsia="zh-CN"/>
              </w:rPr>
            </w:pPr>
          </w:p>
        </w:tc>
        <w:tc>
          <w:tcPr>
            <w:tcW w:w="416" w:type="pct"/>
            <w:shd w:val="clear" w:color="auto" w:fill="auto"/>
            <w:vAlign w:val="center"/>
          </w:tcPr>
          <w:p w14:paraId="4E40AF4C">
            <w:pPr>
              <w:spacing w:line="360" w:lineRule="auto"/>
              <w:ind w:left="42" w:leftChars="2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付款条件及比例</w:t>
            </w:r>
          </w:p>
        </w:tc>
        <w:tc>
          <w:tcPr>
            <w:tcW w:w="4120" w:type="pct"/>
            <w:shd w:val="clear" w:color="auto" w:fill="auto"/>
            <w:vAlign w:val="center"/>
          </w:tcPr>
          <w:p w14:paraId="11047386">
            <w:pPr>
              <w:pStyle w:val="16"/>
              <w:spacing w:line="360" w:lineRule="auto"/>
              <w:rPr>
                <w:rFonts w:hint="eastAsia" w:ascii="仿宋" w:hAnsi="仿宋" w:eastAsia="仿宋" w:cs="仿宋"/>
                <w:sz w:val="24"/>
                <w:szCs w:val="24"/>
                <w:highlight w:val="none"/>
                <w:shd w:val="clear"/>
                <w:lang w:val="en-US" w:eastAsia="zh-CN"/>
              </w:rPr>
            </w:pPr>
            <w:r>
              <w:rPr>
                <w:rFonts w:hint="eastAsia" w:ascii="仿宋" w:hAnsi="仿宋" w:eastAsia="仿宋" w:cs="仿宋"/>
                <w:sz w:val="24"/>
                <w:szCs w:val="24"/>
                <w:highlight w:val="none"/>
              </w:rPr>
              <w:t>合同签订后，支付合同总金额的</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.00%</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后续</w:t>
            </w:r>
            <w:r>
              <w:rPr>
                <w:rFonts w:hint="eastAsia" w:ascii="仿宋" w:hAnsi="仿宋" w:eastAsia="仿宋" w:cs="仿宋"/>
                <w:sz w:val="24"/>
                <w:szCs w:val="24"/>
                <w:highlight w:val="none"/>
                <w:shd w:val="clear"/>
                <w:lang w:val="en-US" w:eastAsia="zh-CN"/>
              </w:rPr>
              <w:t>按三个月一次据实结算，最后根据前期支付情况及本章3.3.1服务期限约定按实际结算。</w:t>
            </w:r>
          </w:p>
          <w:p w14:paraId="396F0403">
            <w:pPr>
              <w:pStyle w:val="16"/>
              <w:spacing w:line="360" w:lineRule="auto"/>
              <w:rPr>
                <w:rFonts w:hint="default" w:ascii="仿宋" w:hAnsi="仿宋" w:eastAsia="仿宋" w:cs="仿宋"/>
                <w:b/>
                <w:bCs/>
                <w:sz w:val="24"/>
                <w:szCs w:val="24"/>
                <w:highlight w:val="green"/>
                <w:lang w:val="en-US" w:eastAsia="zh-CN"/>
              </w:rPr>
            </w:pPr>
            <w:r>
              <w:rPr>
                <w:rFonts w:hint="eastAsia" w:ascii="仿宋" w:hAnsi="仿宋" w:eastAsia="仿宋" w:cs="仿宋"/>
                <w:b/>
                <w:bCs/>
                <w:sz w:val="24"/>
                <w:szCs w:val="24"/>
                <w:highlight w:val="none"/>
                <w:shd w:val="clear"/>
                <w:lang w:val="en-US" w:eastAsia="zh-CN"/>
              </w:rPr>
              <w:t>注：本章第</w:t>
            </w:r>
            <w:r>
              <w:rPr>
                <w:rFonts w:hint="eastAsia" w:ascii="仿宋" w:hAnsi="仿宋" w:eastAsia="仿宋" w:cs="仿宋"/>
                <w:b/>
                <w:bCs/>
                <w:sz w:val="24"/>
                <w:highlight w:val="none"/>
              </w:rPr>
              <w:t>3.3.5</w:t>
            </w:r>
            <w:r>
              <w:rPr>
                <w:rFonts w:hint="eastAsia" w:ascii="仿宋" w:hAnsi="仿宋" w:eastAsia="仿宋" w:cs="仿宋"/>
                <w:b/>
                <w:bCs/>
                <w:sz w:val="24"/>
                <w:highlight w:val="none"/>
                <w:lang w:val="en-US" w:eastAsia="zh-CN"/>
              </w:rPr>
              <w:t>为系统生成无法更改，付款按本条执行。</w:t>
            </w:r>
          </w:p>
          <w:p w14:paraId="56FC000F">
            <w:pPr>
              <w:pStyle w:val="2"/>
              <w:rPr>
                <w:rFonts w:hint="eastAsia" w:ascii="仿宋" w:hAnsi="仿宋" w:eastAsia="仿宋" w:cs="仿宋"/>
                <w:color w:val="auto"/>
                <w:sz w:val="24"/>
                <w:szCs w:val="24"/>
                <w:highlight w:val="none"/>
                <w:lang w:val="en-US" w:eastAsia="zh-CN"/>
              </w:rPr>
            </w:pPr>
          </w:p>
        </w:tc>
      </w:tr>
    </w:tbl>
    <w:p w14:paraId="3F60713B">
      <w:pPr>
        <w:pStyle w:val="16"/>
        <w:spacing w:line="360" w:lineRule="auto"/>
        <w:ind w:firstLine="480"/>
        <w:rPr>
          <w:rFonts w:hint="eastAsia" w:ascii="仿宋" w:hAnsi="仿宋" w:eastAsia="仿宋" w:cs="仿宋"/>
          <w:sz w:val="24"/>
          <w:szCs w:val="24"/>
          <w:lang w:val="en-US" w:eastAsia="zh-Hans"/>
        </w:rPr>
      </w:pP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590095"/>
    <w:multiLevelType w:val="singleLevel"/>
    <w:tmpl w:val="2E590095"/>
    <w:lvl w:ilvl="0" w:tentative="0">
      <w:start w:val="2"/>
      <w:numFmt w:val="chineseCounting"/>
      <w:suff w:val="nothing"/>
      <w:lvlText w:val="（%1）"/>
      <w:lvlJc w:val="left"/>
      <w:rPr>
        <w:rFonts w:hint="eastAsia"/>
      </w:rPr>
    </w:lvl>
  </w:abstractNum>
  <w:abstractNum w:abstractNumId="1">
    <w:nsid w:val="7613BC59"/>
    <w:multiLevelType w:val="singleLevel"/>
    <w:tmpl w:val="7613BC5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lMDQwN2NiMDE0ZGM3OGQyMjI2MGI5NGMzYzk3YjEifQ=="/>
  </w:docVars>
  <w:rsids>
    <w:rsidRoot w:val="53B52B8D"/>
    <w:rsid w:val="001A2968"/>
    <w:rsid w:val="00BF0E19"/>
    <w:rsid w:val="01861C14"/>
    <w:rsid w:val="01B0006B"/>
    <w:rsid w:val="01B110AA"/>
    <w:rsid w:val="02586219"/>
    <w:rsid w:val="026D3223"/>
    <w:rsid w:val="02D74B40"/>
    <w:rsid w:val="02D91624"/>
    <w:rsid w:val="02F23728"/>
    <w:rsid w:val="034A5312"/>
    <w:rsid w:val="0362540B"/>
    <w:rsid w:val="03965FC6"/>
    <w:rsid w:val="0573598F"/>
    <w:rsid w:val="059705B7"/>
    <w:rsid w:val="06606BFB"/>
    <w:rsid w:val="06874187"/>
    <w:rsid w:val="06E86E02"/>
    <w:rsid w:val="08DD2784"/>
    <w:rsid w:val="09015E81"/>
    <w:rsid w:val="09587B5A"/>
    <w:rsid w:val="09B31FE9"/>
    <w:rsid w:val="0A466608"/>
    <w:rsid w:val="0C2E7639"/>
    <w:rsid w:val="0D076022"/>
    <w:rsid w:val="0D154B2C"/>
    <w:rsid w:val="0D4F2DEF"/>
    <w:rsid w:val="0DAE649D"/>
    <w:rsid w:val="0DFB1D1E"/>
    <w:rsid w:val="0E083CF7"/>
    <w:rsid w:val="0E883192"/>
    <w:rsid w:val="0F0D57A6"/>
    <w:rsid w:val="0F551ED3"/>
    <w:rsid w:val="0FAE6DE7"/>
    <w:rsid w:val="0FE8213B"/>
    <w:rsid w:val="112453F4"/>
    <w:rsid w:val="115361C1"/>
    <w:rsid w:val="12614426"/>
    <w:rsid w:val="137522D8"/>
    <w:rsid w:val="13B30CB1"/>
    <w:rsid w:val="13E66C29"/>
    <w:rsid w:val="13EA2BC8"/>
    <w:rsid w:val="14247E99"/>
    <w:rsid w:val="144D6A10"/>
    <w:rsid w:val="152A4FA3"/>
    <w:rsid w:val="156C736A"/>
    <w:rsid w:val="1587011C"/>
    <w:rsid w:val="16247C45"/>
    <w:rsid w:val="163773CF"/>
    <w:rsid w:val="164E4CC1"/>
    <w:rsid w:val="164F6FA2"/>
    <w:rsid w:val="17233A58"/>
    <w:rsid w:val="177F50ED"/>
    <w:rsid w:val="1798113D"/>
    <w:rsid w:val="18193E16"/>
    <w:rsid w:val="188D163E"/>
    <w:rsid w:val="19D674A8"/>
    <w:rsid w:val="1B157B5C"/>
    <w:rsid w:val="1C444B9D"/>
    <w:rsid w:val="1C8651B5"/>
    <w:rsid w:val="1CE95744"/>
    <w:rsid w:val="1D4E7753"/>
    <w:rsid w:val="1DFC5003"/>
    <w:rsid w:val="1E8D7E85"/>
    <w:rsid w:val="1EE7180F"/>
    <w:rsid w:val="1F8C28BE"/>
    <w:rsid w:val="215D225D"/>
    <w:rsid w:val="218D50E0"/>
    <w:rsid w:val="21900687"/>
    <w:rsid w:val="2208666C"/>
    <w:rsid w:val="24C745BD"/>
    <w:rsid w:val="24DB2AF3"/>
    <w:rsid w:val="24DC4B47"/>
    <w:rsid w:val="25E116AE"/>
    <w:rsid w:val="25EB50AF"/>
    <w:rsid w:val="26491028"/>
    <w:rsid w:val="27545EB0"/>
    <w:rsid w:val="27F03E2A"/>
    <w:rsid w:val="28094EEC"/>
    <w:rsid w:val="280C4574"/>
    <w:rsid w:val="282C4737"/>
    <w:rsid w:val="28C11323"/>
    <w:rsid w:val="290D27BA"/>
    <w:rsid w:val="2A853E22"/>
    <w:rsid w:val="2AF4778E"/>
    <w:rsid w:val="2B8C3D8D"/>
    <w:rsid w:val="2BF612E4"/>
    <w:rsid w:val="2C106849"/>
    <w:rsid w:val="2CB90C8F"/>
    <w:rsid w:val="2D92328E"/>
    <w:rsid w:val="2DFE26D1"/>
    <w:rsid w:val="2E2F6D2F"/>
    <w:rsid w:val="2F656EAC"/>
    <w:rsid w:val="30161F54"/>
    <w:rsid w:val="30DA5678"/>
    <w:rsid w:val="3172551D"/>
    <w:rsid w:val="32723172"/>
    <w:rsid w:val="32B67A1F"/>
    <w:rsid w:val="335C4CB3"/>
    <w:rsid w:val="33C63C91"/>
    <w:rsid w:val="33C65A3F"/>
    <w:rsid w:val="34E6283D"/>
    <w:rsid w:val="358160C2"/>
    <w:rsid w:val="35A149B6"/>
    <w:rsid w:val="3784633D"/>
    <w:rsid w:val="37A4078E"/>
    <w:rsid w:val="37E8698B"/>
    <w:rsid w:val="38F0778B"/>
    <w:rsid w:val="3929719C"/>
    <w:rsid w:val="393F251C"/>
    <w:rsid w:val="399F2FBB"/>
    <w:rsid w:val="39A64C0C"/>
    <w:rsid w:val="3A872F07"/>
    <w:rsid w:val="3BA23236"/>
    <w:rsid w:val="3BEF7BF8"/>
    <w:rsid w:val="3C5E53AF"/>
    <w:rsid w:val="3D7F382F"/>
    <w:rsid w:val="3E7C38CA"/>
    <w:rsid w:val="3F0A6D58"/>
    <w:rsid w:val="3F6251B6"/>
    <w:rsid w:val="3FB41253"/>
    <w:rsid w:val="40527C30"/>
    <w:rsid w:val="406A4874"/>
    <w:rsid w:val="415B010F"/>
    <w:rsid w:val="41735459"/>
    <w:rsid w:val="41AE6491"/>
    <w:rsid w:val="41B96BE3"/>
    <w:rsid w:val="441005A2"/>
    <w:rsid w:val="44150A49"/>
    <w:rsid w:val="447339C1"/>
    <w:rsid w:val="449437BC"/>
    <w:rsid w:val="465E7D59"/>
    <w:rsid w:val="46FA5CD4"/>
    <w:rsid w:val="48DB5A82"/>
    <w:rsid w:val="49282FCC"/>
    <w:rsid w:val="493A2D00"/>
    <w:rsid w:val="495959CB"/>
    <w:rsid w:val="4A440DD5"/>
    <w:rsid w:val="4AA87CC6"/>
    <w:rsid w:val="4AB12B4E"/>
    <w:rsid w:val="4B3E553B"/>
    <w:rsid w:val="4C52210E"/>
    <w:rsid w:val="4D330192"/>
    <w:rsid w:val="4D3637DE"/>
    <w:rsid w:val="4DD84374"/>
    <w:rsid w:val="4E1C4782"/>
    <w:rsid w:val="4F163F2E"/>
    <w:rsid w:val="4F2C520F"/>
    <w:rsid w:val="4F6C4A7B"/>
    <w:rsid w:val="4F9842DC"/>
    <w:rsid w:val="4FAB675C"/>
    <w:rsid w:val="519406C2"/>
    <w:rsid w:val="51C31B8A"/>
    <w:rsid w:val="5208399B"/>
    <w:rsid w:val="52985344"/>
    <w:rsid w:val="52F1442F"/>
    <w:rsid w:val="53320114"/>
    <w:rsid w:val="534529CD"/>
    <w:rsid w:val="53B52B8D"/>
    <w:rsid w:val="53C102A5"/>
    <w:rsid w:val="53D84146"/>
    <w:rsid w:val="546D21DB"/>
    <w:rsid w:val="558D41B7"/>
    <w:rsid w:val="564927D4"/>
    <w:rsid w:val="57822E5D"/>
    <w:rsid w:val="57DD1426"/>
    <w:rsid w:val="57E83927"/>
    <w:rsid w:val="58DF1D46"/>
    <w:rsid w:val="5922613D"/>
    <w:rsid w:val="594828CF"/>
    <w:rsid w:val="59980B06"/>
    <w:rsid w:val="5B6E1AB2"/>
    <w:rsid w:val="5CCE2CCC"/>
    <w:rsid w:val="5CE13766"/>
    <w:rsid w:val="5D131446"/>
    <w:rsid w:val="5E9A50D2"/>
    <w:rsid w:val="5FDA624B"/>
    <w:rsid w:val="6034283E"/>
    <w:rsid w:val="6096665B"/>
    <w:rsid w:val="62402D30"/>
    <w:rsid w:val="64132A8D"/>
    <w:rsid w:val="64167E4C"/>
    <w:rsid w:val="642205CF"/>
    <w:rsid w:val="64776ECF"/>
    <w:rsid w:val="64D319A8"/>
    <w:rsid w:val="652E1513"/>
    <w:rsid w:val="67106F11"/>
    <w:rsid w:val="67355F85"/>
    <w:rsid w:val="673F2E98"/>
    <w:rsid w:val="67917B37"/>
    <w:rsid w:val="68DC1286"/>
    <w:rsid w:val="691E53FA"/>
    <w:rsid w:val="6A113B89"/>
    <w:rsid w:val="6A1B7F5A"/>
    <w:rsid w:val="6A684D2E"/>
    <w:rsid w:val="6A6D488B"/>
    <w:rsid w:val="6B3455FE"/>
    <w:rsid w:val="6CE53EA3"/>
    <w:rsid w:val="6D240EF7"/>
    <w:rsid w:val="6D685728"/>
    <w:rsid w:val="6E26547D"/>
    <w:rsid w:val="6EC30F1E"/>
    <w:rsid w:val="702A7E29"/>
    <w:rsid w:val="70435760"/>
    <w:rsid w:val="72027996"/>
    <w:rsid w:val="7309711B"/>
    <w:rsid w:val="738B18DE"/>
    <w:rsid w:val="739E1612"/>
    <w:rsid w:val="74DB0C89"/>
    <w:rsid w:val="74DE7436"/>
    <w:rsid w:val="75B25848"/>
    <w:rsid w:val="75B6775D"/>
    <w:rsid w:val="75BC2223"/>
    <w:rsid w:val="77422ACA"/>
    <w:rsid w:val="77495D38"/>
    <w:rsid w:val="77844B32"/>
    <w:rsid w:val="77F79321"/>
    <w:rsid w:val="78370287"/>
    <w:rsid w:val="793F3897"/>
    <w:rsid w:val="79536A6E"/>
    <w:rsid w:val="79B41968"/>
    <w:rsid w:val="79B64C9F"/>
    <w:rsid w:val="7A22278A"/>
    <w:rsid w:val="7B7E5F17"/>
    <w:rsid w:val="7B964DBF"/>
    <w:rsid w:val="7BB0282A"/>
    <w:rsid w:val="7C460A98"/>
    <w:rsid w:val="7C6F3DBE"/>
    <w:rsid w:val="7C7962EB"/>
    <w:rsid w:val="7E3759FA"/>
    <w:rsid w:val="7EB0669D"/>
    <w:rsid w:val="7EC14D4E"/>
    <w:rsid w:val="7F6866D3"/>
    <w:rsid w:val="7F8813C8"/>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99"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2"/>
    <w:basedOn w:val="1"/>
    <w:next w:val="1"/>
    <w:qFormat/>
    <w:uiPriority w:val="9"/>
    <w:pPr>
      <w:keepNext/>
      <w:keepLines/>
      <w:widowControl/>
      <w:spacing w:before="260" w:beforeLines="0" w:after="260" w:afterLines="0"/>
      <w:ind w:left="284"/>
      <w:jc w:val="left"/>
      <w:outlineLvl w:val="1"/>
    </w:pPr>
    <w:rPr>
      <w:rFonts w:ascii="Arial" w:hAnsi="Arial"/>
      <w:b/>
      <w:bCs/>
      <w:sz w:val="28"/>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rPr>
      <w:rFonts w:ascii="楷体_GB2312" w:hAnsi="Copperplate Gothic Bold" w:eastAsia="楷体_GB2312"/>
      <w:kern w:val="2"/>
      <w:sz w:val="28"/>
    </w:rPr>
  </w:style>
  <w:style w:type="paragraph" w:styleId="4">
    <w:name w:val="Normal Indent"/>
    <w:basedOn w:val="1"/>
    <w:qFormat/>
    <w:uiPriority w:val="0"/>
    <w:pPr>
      <w:spacing w:line="300" w:lineRule="auto"/>
      <w:ind w:firstLine="420" w:firstLineChars="200"/>
    </w:pPr>
    <w:rPr>
      <w:rFonts w:ascii="Times New Roman"/>
      <w:kern w:val="2"/>
      <w:sz w:val="21"/>
      <w:szCs w:val="24"/>
    </w:r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Body Text Indent"/>
    <w:basedOn w:val="1"/>
    <w:next w:val="1"/>
    <w:qFormat/>
    <w:uiPriority w:val="0"/>
    <w:pPr>
      <w:widowControl/>
      <w:ind w:firstLine="652" w:firstLineChars="233"/>
    </w:pPr>
    <w:rPr>
      <w:rFonts w:ascii="Times New Roman"/>
      <w:sz w:val="28"/>
    </w:rPr>
  </w:style>
  <w:style w:type="paragraph" w:styleId="7">
    <w:name w:val="footer"/>
    <w:basedOn w:val="1"/>
    <w:qFormat/>
    <w:uiPriority w:val="99"/>
    <w:pPr>
      <w:tabs>
        <w:tab w:val="center" w:pos="4153"/>
        <w:tab w:val="right" w:pos="8306"/>
      </w:tabs>
      <w:snapToGrid w:val="0"/>
      <w:jc w:val="left"/>
    </w:pPr>
    <w:rPr>
      <w:rFonts w:ascii="Times New Roman"/>
      <w:kern w:val="2"/>
      <w:sz w:val="18"/>
      <w:szCs w:val="18"/>
    </w:rPr>
  </w:style>
  <w:style w:type="paragraph" w:styleId="8">
    <w:name w:val="index 7"/>
    <w:basedOn w:val="1"/>
    <w:next w:val="1"/>
    <w:qFormat/>
    <w:uiPriority w:val="99"/>
    <w:pPr>
      <w:ind w:left="2520"/>
    </w:pPr>
    <w:rPr>
      <w:rFonts w:ascii="黑体" w:hAnsi="Calibri" w:eastAsia="黑体"/>
      <w:kern w:val="2"/>
      <w:sz w:val="32"/>
      <w:szCs w:val="32"/>
    </w:rPr>
  </w:style>
  <w:style w:type="paragraph" w:styleId="9">
    <w:name w:val="Normal (Web)"/>
    <w:basedOn w:val="1"/>
    <w:next w:val="8"/>
    <w:unhideWhenUsed/>
    <w:qFormat/>
    <w:uiPriority w:val="0"/>
    <w:pPr>
      <w:spacing w:beforeAutospacing="1" w:afterAutospacing="1"/>
      <w:jc w:val="left"/>
    </w:pPr>
    <w:rPr>
      <w:kern w:val="0"/>
      <w:sz w:val="24"/>
    </w:rPr>
  </w:style>
  <w:style w:type="paragraph" w:styleId="10">
    <w:name w:val="Body Text First Indent"/>
    <w:basedOn w:val="5"/>
    <w:next w:val="1"/>
    <w:unhideWhenUsed/>
    <w:qFormat/>
    <w:uiPriority w:val="0"/>
    <w:pPr>
      <w:spacing w:afterLines="0" w:line="240" w:lineRule="auto"/>
      <w:ind w:firstLine="420" w:firstLineChars="100"/>
    </w:pPr>
    <w:rPr>
      <w:rFonts w:ascii="Times New Roman" w:hAnsi="Times New Roman"/>
      <w:color w:val="auto"/>
      <w:sz w:val="18"/>
      <w:szCs w:val="18"/>
    </w:rPr>
  </w:style>
  <w:style w:type="character" w:styleId="13">
    <w:name w:val="Strong"/>
    <w:basedOn w:val="12"/>
    <w:qFormat/>
    <w:uiPriority w:val="22"/>
    <w:rPr>
      <w:b/>
      <w:bCs/>
    </w:rPr>
  </w:style>
  <w:style w:type="character" w:styleId="14">
    <w:name w:val="Hyperlink"/>
    <w:basedOn w:val="12"/>
    <w:qFormat/>
    <w:uiPriority w:val="0"/>
    <w:rPr>
      <w:color w:val="0000FF"/>
      <w:u w:val="single"/>
    </w:rPr>
  </w:style>
  <w:style w:type="paragraph" w:customStyle="1" w:styleId="15">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customStyle="1" w:styleId="16">
    <w:name w:val="null3"/>
    <w:hidden/>
    <w:qFormat/>
    <w:uiPriority w:val="0"/>
    <w:rPr>
      <w:rFonts w:hint="eastAsia" w:asciiTheme="minorHAnsi" w:hAnsiTheme="minorHAnsi" w:eastAsiaTheme="minorEastAsia" w:cstheme="minorBidi"/>
      <w:lang w:val="en-US" w:eastAsia="zh-Hans"/>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eastAsia="宋体" w:cs="宋体"/>
      <w:sz w:val="24"/>
      <w:szCs w:val="24"/>
      <w:lang w:val="en-US" w:eastAsia="en-US" w:bidi="ar-SA"/>
    </w:rPr>
  </w:style>
  <w:style w:type="paragraph" w:customStyle="1" w:styleId="19">
    <w:name w:val="Heading4"/>
    <w:basedOn w:val="1"/>
    <w:next w:val="1"/>
    <w:qFormat/>
    <w:uiPriority w:val="0"/>
    <w:pPr>
      <w:keepNext/>
      <w:keepLines/>
      <w:spacing w:before="280" w:after="290" w:line="376" w:lineRule="atLeast"/>
      <w:jc w:val="both"/>
      <w:textAlignment w:val="baseline"/>
    </w:pPr>
    <w:rPr>
      <w:rFonts w:ascii="Arial" w:hAnsi="Arial"/>
      <w:b/>
      <w:spacing w:val="20"/>
      <w:kern w:val="2"/>
      <w:sz w:val="28"/>
      <w:szCs w:val="2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3029</Words>
  <Characters>3302</Characters>
  <Lines>0</Lines>
  <Paragraphs>0</Paragraphs>
  <TotalTime>66</TotalTime>
  <ScaleCrop>false</ScaleCrop>
  <LinksUpToDate>false</LinksUpToDate>
  <CharactersWithSpaces>3305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QQQQ</cp:lastModifiedBy>
  <dcterms:modified xsi:type="dcterms:W3CDTF">2026-05-22T10:06:01Z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B3E8E282E60246F5A2B54C95642ABB78_12</vt:lpwstr>
  </property>
  <property fmtid="{D5CDD505-2E9C-101B-9397-08002B2CF9AE}" pid="4" name="KSOTemplateDocerSaveRecord">
    <vt:lpwstr>eyJoZGlkIjoiNmZlMDQwN2NiMDE0ZGM3OGQyMjI2MGI5NGMzYzk3YjEiLCJ1c2VySWQiOiIzODkzMjE1NzcifQ==</vt:lpwstr>
  </property>
</Properties>
</file>