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版本号：ZZZC2026-01220260511001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西安市新城区小型社区健身中心工程类项目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ZZZC2026-012</w:t>
      </w:r>
      <w:r>
        <w:br/>
      </w:r>
      <w:r>
        <w:br/>
      </w:r>
      <w:r>
        <w:br/>
      </w:r>
    </w:p>
    <w:p>
      <w:pPr>
        <w:pStyle w:val="null3"/>
        <w:jc w:val="center"/>
        <w:outlineLvl w:val="2"/>
      </w:pPr>
      <w:r>
        <w:rPr>
          <w:rFonts w:ascii="仿宋_GB2312" w:hAnsi="仿宋_GB2312" w:cs="仿宋_GB2312" w:eastAsia="仿宋_GB2312"/>
          <w:sz w:val="28"/>
          <w:b/>
        </w:rPr>
        <w:t>西安市新城区西一路街道办事处</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西安市新城区西一路街道办事处</w:t>
      </w:r>
      <w:r>
        <w:rPr>
          <w:rFonts w:ascii="仿宋_GB2312" w:hAnsi="仿宋_GB2312" w:cs="仿宋_GB2312" w:eastAsia="仿宋_GB2312"/>
        </w:rPr>
        <w:t>委托，拟对</w:t>
      </w:r>
      <w:r>
        <w:rPr>
          <w:rFonts w:ascii="仿宋_GB2312" w:hAnsi="仿宋_GB2312" w:cs="仿宋_GB2312" w:eastAsia="仿宋_GB2312"/>
        </w:rPr>
        <w:t>西安市新城区小型社区健身中心工程类项目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ZZZC2026-012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西安市新城区小型社区健身中心工程类项目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西安市新城区小型社区健身中心工程类项目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采购包1（西安市新城区小型社区健身中心工程类项目）：属于专门面向中小企业采购。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6、无重大违法记录的书面声明：提供参加政府采购提供参加政府采购活动前三年内在经营活动中没有重大违法记录的书面声明（提供书面声明，加盖供应商公章）；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被授权人身份证复印件及被授权人近三个月社保缴纳的证明资料）；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资质证书：具有建筑装修装饰工程专业承包二级（含）以上资质；同时具有有效的安全生产许可证；拟派项目经理具备建筑工程专业二级（含）以上注册建造师证和有效的安全生产考核证书（B证）；在本单位注册，提供无在建工程承诺书；</w:t>
      </w:r>
    </w:p>
    <w:p>
      <w:pPr>
        <w:pStyle w:val="null3"/>
      </w:pPr>
      <w:r>
        <w:rPr>
          <w:rFonts w:ascii="仿宋_GB2312" w:hAnsi="仿宋_GB2312" w:cs="仿宋_GB2312" w:eastAsia="仿宋_GB2312"/>
        </w:rPr>
        <w:t>9、信用信息查询：不得为“信用中国”网站(http://www.creditchina.gov.cn)列入“失信被执行人（页面跳转至“中国执行信息公开网”http://zxgk.court.gov.cn/shixin/）、重大税收违法失信主体、政府采购严重违法失信行为记录名单”的供应商；不得为“中国政府采购网”网站(http://www.ccgp.gov.cn)“政府采购严重违法失信行为记录名单”中的供应商（根据财库【2019】38号文规定，此项在投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单位负责人为同一人或者存在直接控股、管理关系的不同供应商，不得参加同一合同项下的政府采购活动（根据财库【2019】38号文规定，此项由采购代理机构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西安市新城区西一路街道办事处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西安市新城区西一路148号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029-68319051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李工、金工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采购包1：1,557,085.79元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1.开户行名称：中招(陕西)项目管理有限公司 2.开 户 行：中国建设银行股份有限公司泾阳县中心街支行 3.账 号：6105 0163 7355 0911 1111 备注：供应商在汇款时须注明项目编号+项目简称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西安市新城区西一路街道办事处</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西安市新城区西一路街道办事处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西安市新城区西一路街道办事处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1.验收流程 1.1项目在竣工后，成交人应向采购人提交工程竣工报告，申请工程竣工验收，并将施工过程中相关资料提交采购人。1.2采购人收到工程竣工报告后，对符合竣工验收要求的工程进行验收，签署工程竣工验收意见。1.3验收合格后，采购人出具《工程竣工验收报告》，并在建设行政主管部门备案。1.4验收不合格的成交单位，必须在接到通知后7个日历日内确保工程通过验收。如接到通知后7个日历日内验收仍不合格，采购人可提出索赔或取消其施工合同。2.验收标准按照国家、行业有关规范和要求执行。3.成交人承诺完全达到国家有关部门验收标准，并全部通过验收为交付使用的基本条件，验收过程中的一切费用由成交供应商承担。 4.验收依据:4.1合同文本及合同补充文件（条款）。4.2磋商文件。4.3磋商响应文件。4.4工程量清单。4.5建筑工程施工质量验收统一标准。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联系人：李工、金工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1,557,085.79</w:t>
      </w:r>
    </w:p>
    <w:p>
      <w:pPr>
        <w:pStyle w:val="null3"/>
      </w:pPr>
      <w:r>
        <w:rPr>
          <w:rFonts w:ascii="仿宋_GB2312" w:hAnsi="仿宋_GB2312" w:cs="仿宋_GB2312" w:eastAsia="仿宋_GB2312"/>
        </w:rPr>
        <w:t>采购包最高限价（元）: 1,557,085.79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西安市新城区小型社区健身中心工程类项目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1,557,085.79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标的名称：西安市新城区小型社区健身中心工程类项目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30"/>
              <w:jc w:val="both"/>
            </w:pPr>
            <w:r>
              <w:rPr>
                <w:rFonts w:ascii="仿宋_GB2312" w:hAnsi="仿宋_GB2312" w:cs="仿宋_GB2312" w:eastAsia="仿宋_GB2312"/>
              </w:rPr>
              <w:t>一、工程概况：</w:t>
            </w:r>
          </w:p>
          <w:p>
            <w:pPr>
              <w:pStyle w:val="null3"/>
            </w:pPr>
            <w:r>
              <w:rPr>
                <w:rFonts w:ascii="仿宋_GB2312" w:hAnsi="仿宋_GB2312" w:cs="仿宋_GB2312" w:eastAsia="仿宋_GB2312"/>
              </w:rPr>
              <w:t>主要建设内容：本项目为新城区小型社区健身中心工程类项目，项目室外场地改造面积1467.78㎡，其中运动场地改造面积1382.94㎡，室外健身器材场地面积44.80㎡，室外透水花砖地面面积40.04㎡;室内器械运动用房改造面积61.22㎡。主要内容包括:室外健身场地和室内健身器材配套场地，其中场地内建设球场、围栏、排水边沟、照明等。室内外配套健身器材等设施不在本次招标范围内。</w:t>
            </w:r>
          </w:p>
          <w:p>
            <w:pPr>
              <w:pStyle w:val="null3"/>
            </w:pPr>
            <w:r>
              <w:rPr>
                <w:rFonts w:ascii="仿宋_GB2312" w:hAnsi="仿宋_GB2312" w:cs="仿宋_GB2312" w:eastAsia="仿宋_GB2312"/>
              </w:rPr>
              <w:t>二、编制范围：</w:t>
            </w:r>
          </w:p>
          <w:p>
            <w:pPr>
              <w:pStyle w:val="null3"/>
            </w:pPr>
            <w:r>
              <w:rPr>
                <w:rFonts w:ascii="仿宋_GB2312" w:hAnsi="仿宋_GB2312" w:cs="仿宋_GB2312" w:eastAsia="仿宋_GB2312"/>
              </w:rPr>
              <w:t>1.西安市新城区小型社区健身中心工程类项目，图纸设计改造范围内的全部内容。</w:t>
            </w:r>
          </w:p>
          <w:p>
            <w:pPr>
              <w:pStyle w:val="null3"/>
            </w:pPr>
            <w:r>
              <w:rPr>
                <w:rFonts w:ascii="仿宋_GB2312" w:hAnsi="仿宋_GB2312" w:cs="仿宋_GB2312" w:eastAsia="仿宋_GB2312"/>
              </w:rPr>
              <w:t>三、编制依据：</w:t>
            </w:r>
          </w:p>
          <w:p>
            <w:pPr>
              <w:pStyle w:val="null3"/>
            </w:pPr>
            <w:r>
              <w:rPr>
                <w:rFonts w:ascii="仿宋_GB2312" w:hAnsi="仿宋_GB2312" w:cs="仿宋_GB2312" w:eastAsia="仿宋_GB2312"/>
              </w:rPr>
              <w:t>1、《陕西省建设工程工程量清单计价标准及计算标准（2025）》。</w:t>
            </w:r>
          </w:p>
          <w:p>
            <w:pPr>
              <w:pStyle w:val="null3"/>
            </w:pPr>
            <w:r>
              <w:rPr>
                <w:rFonts w:ascii="仿宋_GB2312" w:hAnsi="仿宋_GB2312" w:cs="仿宋_GB2312" w:eastAsia="仿宋_GB2312"/>
              </w:rPr>
              <w:t>2、《陕西省建设工程费用规则（2025）》。</w:t>
            </w:r>
          </w:p>
          <w:p>
            <w:pPr>
              <w:pStyle w:val="null3"/>
            </w:pPr>
            <w:r>
              <w:rPr>
                <w:rFonts w:ascii="仿宋_GB2312" w:hAnsi="仿宋_GB2312" w:cs="仿宋_GB2312" w:eastAsia="仿宋_GB2312"/>
              </w:rPr>
              <w:t>3、陕西省工程建设标准《房屋建筑与装饰工程工程量计算标准》、《通用安装工程工程量计算标准》、《市政工程工程量计算标准》、《园林绿化工程工程量计算标准》。</w:t>
            </w:r>
          </w:p>
          <w:p>
            <w:pPr>
              <w:pStyle w:val="null3"/>
            </w:pPr>
            <w:r>
              <w:rPr>
                <w:rFonts w:ascii="仿宋_GB2312" w:hAnsi="仿宋_GB2312" w:cs="仿宋_GB2312" w:eastAsia="仿宋_GB2312"/>
              </w:rPr>
              <w:t>4、陕建管发〔2025〕10号文《陕西省住房和城乡建设厅关于印发2025陕西省建设工程费用规则等计价依据的通知》。</w:t>
            </w:r>
          </w:p>
          <w:p>
            <w:pPr>
              <w:pStyle w:val="null3"/>
            </w:pPr>
            <w:r>
              <w:rPr>
                <w:rFonts w:ascii="仿宋_GB2312" w:hAnsi="仿宋_GB2312" w:cs="仿宋_GB2312" w:eastAsia="仿宋_GB2312"/>
              </w:rPr>
              <w:t>5、西安市新城区小型社区健身中心项目招标文件、相关预算说明文件。</w:t>
            </w:r>
          </w:p>
          <w:p>
            <w:pPr>
              <w:pStyle w:val="null3"/>
            </w:pPr>
            <w:r>
              <w:rPr>
                <w:rFonts w:ascii="仿宋_GB2312" w:hAnsi="仿宋_GB2312" w:cs="仿宋_GB2312" w:eastAsia="仿宋_GB2312"/>
              </w:rPr>
              <w:t>6、施工现场情况、工程特点及施工方案。</w:t>
            </w:r>
          </w:p>
          <w:p>
            <w:pPr>
              <w:pStyle w:val="null3"/>
            </w:pPr>
            <w:r>
              <w:rPr>
                <w:rFonts w:ascii="仿宋_GB2312" w:hAnsi="仿宋_GB2312" w:cs="仿宋_GB2312" w:eastAsia="仿宋_GB2312"/>
              </w:rPr>
              <w:t>7、与建设工程有关的标准、规范及技术资料。</w:t>
            </w:r>
          </w:p>
          <w:p>
            <w:pPr>
              <w:pStyle w:val="null3"/>
            </w:pPr>
            <w:r>
              <w:rPr>
                <w:rFonts w:ascii="仿宋_GB2312" w:hAnsi="仿宋_GB2312" w:cs="仿宋_GB2312" w:eastAsia="仿宋_GB2312"/>
              </w:rPr>
              <w:t>8、其他相关资料等。</w:t>
            </w:r>
          </w:p>
          <w:p>
            <w:pPr>
              <w:pStyle w:val="null3"/>
            </w:pPr>
            <w:r>
              <w:rPr>
                <w:rFonts w:ascii="仿宋_GB2312" w:hAnsi="仿宋_GB2312" w:cs="仿宋_GB2312" w:eastAsia="仿宋_GB2312"/>
              </w:rPr>
              <w:t>9、本工程采用广联达云计价平台陕西地区GCCP7.5000.23.2编制。</w:t>
            </w:r>
          </w:p>
          <w:p>
            <w:pPr>
              <w:pStyle w:val="null3"/>
            </w:pPr>
            <w:r>
              <w:rPr>
                <w:rFonts w:ascii="仿宋_GB2312" w:hAnsi="仿宋_GB2312" w:cs="仿宋_GB2312" w:eastAsia="仿宋_GB2312"/>
              </w:rPr>
              <w:t>10、本工程暂列金额合计120000.00元，计入其他项目费中。</w:t>
            </w:r>
          </w:p>
          <w:p>
            <w:pPr>
              <w:pStyle w:val="null3"/>
            </w:pPr>
            <w:r>
              <w:rPr>
                <w:rFonts w:ascii="仿宋_GB2312" w:hAnsi="仿宋_GB2312" w:cs="仿宋_GB2312" w:eastAsia="仿宋_GB2312"/>
              </w:rPr>
              <w:t>四、其他说明：</w:t>
            </w:r>
          </w:p>
          <w:p>
            <w:pPr>
              <w:pStyle w:val="null3"/>
            </w:pPr>
            <w:r>
              <w:rPr>
                <w:rFonts w:ascii="仿宋_GB2312" w:hAnsi="仿宋_GB2312" w:cs="仿宋_GB2312" w:eastAsia="仿宋_GB2312"/>
              </w:rPr>
              <w:t>1、砂浆按预拌砂浆，混凝土按商品砼，石灰按熟石灰计入。</w:t>
            </w:r>
          </w:p>
          <w:p>
            <w:pPr>
              <w:pStyle w:val="null3"/>
            </w:pPr>
            <w:r>
              <w:rPr>
                <w:rFonts w:ascii="仿宋_GB2312" w:hAnsi="仿宋_GB2312" w:cs="仿宋_GB2312" w:eastAsia="仿宋_GB2312"/>
              </w:rPr>
              <w:t>2、清单中注明暂定量的，结算时，均以实际发生工程量为准。</w:t>
            </w:r>
          </w:p>
          <w:p>
            <w:pPr>
              <w:pStyle w:val="null3"/>
            </w:pPr>
            <w:r>
              <w:rPr>
                <w:rFonts w:ascii="仿宋_GB2312" w:hAnsi="仿宋_GB2312" w:cs="仿宋_GB2312" w:eastAsia="仿宋_GB2312"/>
              </w:rPr>
              <w:t>3、工程量清单所列项目仅描述了其主要特征，供应商应依据项目编码所对应的项目特征及工作内容，结合图纸要求、工程情况及建设单位需求报价。</w:t>
            </w:r>
          </w:p>
          <w:p>
            <w:pPr>
              <w:pStyle w:val="null3"/>
            </w:pPr>
            <w:r>
              <w:rPr>
                <w:rFonts w:ascii="仿宋_GB2312" w:hAnsi="仿宋_GB2312" w:cs="仿宋_GB2312" w:eastAsia="仿宋_GB2312"/>
              </w:rPr>
              <w:t>五、工程量清单</w:t>
            </w:r>
          </w:p>
          <w:p>
            <w:pPr>
              <w:pStyle w:val="null3"/>
            </w:pPr>
            <w:r>
              <w:rPr>
                <w:rFonts w:ascii="仿宋_GB2312" w:hAnsi="仿宋_GB2312" w:cs="仿宋_GB2312" w:eastAsia="仿宋_GB2312"/>
              </w:rPr>
              <w:t>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供应商针对本项目的施工，严格遵守国家及行业现行相关法律、法规、技术规范、规程及标准，全部施工内容均达到国家、行业现行施工质量验收规范合格及以上标准，确保一次性验收合格。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后60个日历日内施工完毕。2、运输、施工：成交人负责材料的运输、施工及其他伴随服务。3、施工要求：3.1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3.2成交人应配合项目建设进度,向采购人提供施工组织计划、进度计划和施工作业计划，并签订施工安全责任书。3.3采购人只提供电源、水源。成交人在施工期间不得破坏原有建筑。4、质量保证：4.1工程质保期符合文件要求及国家标准要求。成交人承诺的质保时间超过国家标准要求的，按其承诺时间质保。成交人承诺的质保期起始时间为终验合格之日。4.2工程质量等级达到合格或以上标准。4.3成交人应遵照国家规范规定的建筑工程施工质量标准及要求作出明确承诺。4.4在质量保证期内，成交人应具有良好、迅速的售后服务能力。5、合同实施：5.1.成交人应在合同签订后，依据采购人提供的平面布置图，向采购人提交项目图纸，审核合格后方可施工。5.2.图纸审核通过后7个日历日内安排人员（项目组成人员简历表所列）就施工工作等进行安排、部署。5.3.若因成交人原因未能在规定工期内完成合同规定的义务，由此对采购人造成的延误和一切损失，由成交人承担和赔偿。6、违约责任：6.1按《中华人民共和国民法典》中的相关条款执行。6.2未按合同要求提供工程质量或工程质量不能满足技术要求，采购人有权终止合同，并对成交人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三副纸质响应文件，纸质响应文件采用书籍（胶装）方式装订成册，须编制目录、页码和书脊，在书脊处标注项目名称和项目编号，与电子响应文件一致的签字、盖章的完整版本。 2.采购包1： 付款条件说明：合同签订后，达到付款条件起15日内，支付合同总金额的40.00%。施工完毕并竣工验收合格，达到付款条件起，达到付款条件起15日内，支付合同总金额的50.00%。结算审计后，支付审定后的剩余金额，达到付款条件起，达到付款条件起15日内，支付合同总金额的10.00%。 3.本项目采购标的对应的中小企业划分标准所属行业为（建筑业）。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资质证明文件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供应商需在项目电子化交易系统中按要求上传相应证明文件并进行电子签章。此项与供应商特殊资格要求“财务状况报告”为同一审查项。</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供应商需在项目电子化交易系统中按要求填写《响应函》完成承诺并进行电子签章。此项与供应商特殊资格要求“控股关系”为同一审查项。</w:t>
            </w:r>
          </w:p>
        </w:tc>
        <w:tc>
          <w:tcPr>
            <w:tcW w:type="dxa" w:w="1661"/>
          </w:tcPr>
          <w:p>
            <w:pPr>
              <w:pStyle w:val="null3"/>
            </w:pPr>
            <w:r>
              <w:rPr>
                <w:rFonts w:ascii="仿宋_GB2312" w:hAnsi="仿宋_GB2312" w:cs="仿宋_GB2312" w:eastAsia="仿宋_GB2312"/>
              </w:rPr>
              <w:t>资质证明文件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及被授权人近三个月社保缴纳的证明资料）；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资质证明文件 法定代表人授权委托书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建筑装修装饰工程专业承包二级（含）以上资质；同时具有有效的安全生产许可证；拟派项目经理具备建筑工程专业二级（含）以上注册建造师证和有效的安全生产考核证书（B证）；在本单位注册，提供无在建工程承诺书；</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网站(http://www.ccgp.gov.cn)“政府采购严重违法失信行为记录名单”中的供应商（根据财库【2019】38号文规定，此项在投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代理机构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项目管理机构人员简历表 已标价工程量清单 法定代表人授权委托书 供应商参与政府采购活动的承诺函 中小企业声明函 业绩 承诺书 拒绝政府采购领域商业贿赂承诺书 响应文件封面 资质证明文件 项目管理机构组成表 残疾人福利性单位声明函 技术、服务、商务及其他要求响应偏离表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资质有效期</w:t>
            </w:r>
          </w:p>
        </w:tc>
        <w:tc>
          <w:tcPr>
            <w:tcW w:type="dxa" w:w="3322"/>
          </w:tcPr>
          <w:p>
            <w:pPr>
              <w:pStyle w:val="null3"/>
            </w:pPr>
            <w:r>
              <w:rPr>
                <w:rFonts w:ascii="仿宋_GB2312" w:hAnsi="仿宋_GB2312" w:cs="仿宋_GB2312" w:eastAsia="仿宋_GB2312"/>
              </w:rPr>
              <w:t>响应文件中提供的企业及人员资质证书等材料须在合同签订及履行期间持续有效，否则应在响应文件中提供一份承诺书，承诺到期前完成续期并向采购人提供新的材料。</w:t>
            </w:r>
          </w:p>
        </w:tc>
        <w:tc>
          <w:tcPr>
            <w:tcW w:type="dxa" w:w="1661"/>
          </w:tcPr>
          <w:p>
            <w:pPr>
              <w:pStyle w:val="null3"/>
            </w:pPr>
            <w:r>
              <w:rPr>
                <w:rFonts w:ascii="仿宋_GB2312" w:hAnsi="仿宋_GB2312" w:cs="仿宋_GB2312" w:eastAsia="仿宋_GB2312"/>
              </w:rPr>
              <w:t>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项目管理机构人员简历表 已标价工程量清单 法定代表人授权委托书 供应商认为需要提供的其他资料（若有） 供应商参与政府采购活动的承诺函 对竞争性磋商文件及合同条款的承诺 中小企业声明函 业绩 承诺书 施工技术响应 拒绝政府采购领域商业贿赂承诺书 响应文件封面 资质证明文件 项目管理机构组成表 服务承诺 残疾人福利性单位声明函 技术、服务、商务及其他要求响应偏离表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供应商认为需要提供的其他资料（若有）</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供应商认为需要提供的其他资料（若有）</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评审得分相同的，按照最后报价由低到高的顺序推荐。评审得分且最后报价相同的，按照技术响应优劣顺序推荐。评审得分且最后报价且技术响应得分均相同的，成交候选供应商并列。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确保工程质量的技术组织措施 一、评审内容： 供应商针对本项目编制完善的工程质量技术组织措施，内容包含但不限于：①质量目标管理体系；②施工质量的检验制度；③确保质量的技术组织措施；④材料储存方案。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确保文明施工的技术组织措施及环境保护措施 一、评审内容 供应商针对本项目编制完善的文明施工及环境保护措施，内容包含但不限于：①安全文明施工目标及施工现场的临时管理措施；②文明施工保障措施；③环境保护管理体系；④环保控制措施：污染物及废弃物处理的排放、噪音控制、防尘及扬尘的控制措施。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确保安全生产的技术组织措施 一、评审内容 供应商针对本项目编制完善的安全生产的技术组织措施，内容包含但不限于：①安全管理体系；②安全责任归属划分；③安全标识：安全警戒标语、施工人员安全警示服和安全帽穿配要求；④安全教育培训。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确保工期的技术组织措施 一、评审内容 供应商针对本项目编制完善的工期的技术组织措施，内容包含但不限于：①施工组织与工期保证措施；②特殊情况保证：夜间、雨季、高温等情况。 每有一项缺项扣3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项目施工方案 一、评审内容 供应商针对本项目编制完善的施工方案，内容包含但不限于：①具体施工内容；②施工次序；③施工方法（工艺）；④成品保护措施。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施工机械及材料投入计划 一、评审内容 供应商针对本项目编制完善的施工机械及材料投入计划，内容包含但不限于：①拟投入的主要施工机械设备计划；②主要材料进场计划。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施工进度网络图或施工进度表 一、评审内容 供应商针对本项目编制完善的施工进度网络图或施工进度表，内容包含但不限于：①施工总进度：施工进度目标和施工总进度计划表/图；②施工进度保障措施。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劳动力安排计划及劳务分包情况 一、评审内容 供应商针对本项目编制完善的劳动力安排计划及劳务分包情况，内容包含但不限于：①劳动力投入计划；②劳务分包情况；③劳动力保障措施。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项目经理部组织机构 一、评审内容 供应商针对本项目编制完善的项目经理部组织机构，内容包含但不限于：①项目成员配置清单及架构；②项目组配备人员的专业素质、人员结构；③项目成员的主要职责及工作内容。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供应商针对本项目编制完善的服务承诺，内容包含但不限于：①对招标文件和合同条款的响应承诺；②针对本项目实际需求提供实质性服务承诺及保障措施；③针对本项目的施工验收后期的质保承诺。 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以合同形式提供供应商2023年1月至今类似项目业绩，每份计2分，计满6分为止。（附合同复印件，以合同签订时间为准）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详见附件：项目管理机构人员简历表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详见附件：对竞争性磋商文件及合同条款的承诺</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详见附件：技术、服务、商务及其他要求响应偏离表</w:t>
      </w:r>
    </w:p>
    <w:p>
      <w:pPr>
        <w:pStyle w:val="null3"/>
        <w:ind w:firstLine="960"/>
      </w:pPr>
      <w:r>
        <w:rPr>
          <w:rFonts w:ascii="仿宋_GB2312" w:hAnsi="仿宋_GB2312" w:cs="仿宋_GB2312" w:eastAsia="仿宋_GB2312"/>
        </w:rPr>
        <w:t>详见附件：供应商参与政府采购活动的承诺函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详见附件：施工技术响应</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详见附件：资质证明文件</w:t>
      </w:r>
    </w:p>
    <w:p>
      <w:pPr>
        <w:pStyle w:val="null3"/>
        <w:ind w:firstLine="960"/>
      </w:pPr>
      <w:r>
        <w:rPr>
          <w:rFonts w:ascii="仿宋_GB2312" w:hAnsi="仿宋_GB2312" w:cs="仿宋_GB2312" w:eastAsia="仿宋_GB2312"/>
        </w:rPr>
        <w:t>详见附件：供应商认为需要提供的其他资料（若有）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