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版本号：BHZB-202604520260819001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全市苏陕协作及县域特色产品展销活动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BHZB-2026045</w:t>
      </w:r>
      <w:r>
        <w:br/>
      </w:r>
      <w:r>
        <w:br/>
      </w:r>
      <w:r>
        <w:br/>
      </w:r>
    </w:p>
    <w:p>
      <w:pPr>
        <w:pStyle w:val="null3"/>
        <w:jc w:val="center"/>
        <w:outlineLvl w:val="2"/>
      </w:pPr>
      <w:r>
        <w:rPr>
          <w:rFonts w:ascii="仿宋_GB2312" w:hAnsi="仿宋_GB2312" w:cs="仿宋_GB2312" w:eastAsia="仿宋_GB2312"/>
          <w:sz w:val="28"/>
          <w:b/>
        </w:rPr>
        <w:t>汉中市发展和改革委员会</w:t>
      </w:r>
    </w:p>
    <w:p>
      <w:pPr>
        <w:pStyle w:val="null3"/>
        <w:jc w:val="center"/>
        <w:outlineLvl w:val="2"/>
      </w:pPr>
      <w:r>
        <w:rPr>
          <w:rFonts w:ascii="仿宋_GB2312" w:hAnsi="仿宋_GB2312" w:cs="仿宋_GB2312" w:eastAsia="仿宋_GB2312"/>
          <w:sz w:val="28"/>
          <w:b/>
        </w:rPr>
        <w:t>陕西博华项目管理有限公司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陕西博华项目管理有限公司</w:t>
      </w:r>
      <w:r>
        <w:rPr>
          <w:rFonts w:ascii="仿宋_GB2312" w:hAnsi="仿宋_GB2312" w:cs="仿宋_GB2312" w:eastAsia="仿宋_GB2312"/>
        </w:rPr>
        <w:t>（以下简称“代理机构”）受</w:t>
      </w:r>
      <w:r>
        <w:rPr>
          <w:rFonts w:ascii="仿宋_GB2312" w:hAnsi="仿宋_GB2312" w:cs="仿宋_GB2312" w:eastAsia="仿宋_GB2312"/>
        </w:rPr>
        <w:t>汉中市发展和改革委员会</w:t>
      </w:r>
      <w:r>
        <w:rPr>
          <w:rFonts w:ascii="仿宋_GB2312" w:hAnsi="仿宋_GB2312" w:cs="仿宋_GB2312" w:eastAsia="仿宋_GB2312"/>
        </w:rPr>
        <w:t>委托，拟对</w:t>
      </w:r>
      <w:r>
        <w:rPr>
          <w:rFonts w:ascii="仿宋_GB2312" w:hAnsi="仿宋_GB2312" w:cs="仿宋_GB2312" w:eastAsia="仿宋_GB2312"/>
        </w:rPr>
        <w:t>全市苏陕协作及县域特色产品展销活动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BHZB-2026045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全市苏陕协作及县域特色产品展销活动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全市苏陕协作及县域特色产品展销活动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采购包1（全市苏陕协作及县域特色产品展销活动）：属于专门面向中小企业采购。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企业法人、事业法人、其他组织或自然人,企业法人应提供具有统一社会信用代码的营业执照,事业法人应提供事业单位法人证,其他组织应提供合法证明文件,自然人提供身份证明文件;</w:t>
      </w:r>
    </w:p>
    <w:p>
      <w:pPr>
        <w:pStyle w:val="null3"/>
      </w:pPr>
      <w:r>
        <w:rPr>
          <w:rFonts w:ascii="仿宋_GB2312" w:hAnsi="仿宋_GB2312" w:cs="仿宋_GB2312" w:eastAsia="仿宋_GB2312"/>
        </w:rPr>
        <w:t>2、合法的授权：法定代表人（其他组织、自然人）直接参加投标只须提供法定代表人（其他组织、自然人）身份证明书及身份证加盖公章，法定代表人授权他人参加的，须提供法定代表人授权委托书及被授权人身份证加盖公章;</w:t>
      </w:r>
    </w:p>
    <w:p>
      <w:pPr>
        <w:pStyle w:val="null3"/>
      </w:pPr>
      <w:r>
        <w:rPr>
          <w:rFonts w:ascii="仿宋_GB2312" w:hAnsi="仿宋_GB2312" w:cs="仿宋_GB2312" w:eastAsia="仿宋_GB2312"/>
        </w:rPr>
        <w:t>3、承诺函：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4、声明函：本项目不接受联合体投标，不允许分包。投标供应商应提供《非联合体不分包投标声明》。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汉中市发展和改革委员会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陕西省汉中市汉台区东塔北路中段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0916-2639557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汉台区莲湖东路⼀职⾼⼤⻔向东50⽶营业房三楼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0916-8822333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开户名称：陕西博华项⽬管理有限公司</w:t>
            </w:r>
          </w:p>
          <w:p>
            <w:pPr>
              <w:pStyle w:val="null3"/>
            </w:pPr>
            <w:r>
              <w:rPr>
                <w:rFonts w:ascii="仿宋_GB2312" w:hAnsi="仿宋_GB2312" w:cs="仿宋_GB2312" w:eastAsia="仿宋_GB2312"/>
              </w:rPr>
              <w:t>开户银行：中国银⾏汉中莲湖路⽀⾏</w:t>
            </w:r>
          </w:p>
          <w:p>
            <w:pPr>
              <w:pStyle w:val="null3"/>
            </w:pPr>
            <w:r>
              <w:rPr>
                <w:rFonts w:ascii="仿宋_GB2312" w:hAnsi="仿宋_GB2312" w:cs="仿宋_GB2312" w:eastAsia="仿宋_GB2312"/>
              </w:rPr>
              <w:t>银行账号：1020 9711 6758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代理服务费收费标准：以签订的代理合同约定为准。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汉中市发展和改革委员会</w:t>
      </w:r>
      <w:r>
        <w:rPr>
          <w:rFonts w:ascii="仿宋_GB2312" w:hAnsi="仿宋_GB2312" w:cs="仿宋_GB2312" w:eastAsia="仿宋_GB2312"/>
        </w:rPr>
        <w:t>和</w:t>
      </w:r>
      <w:r>
        <w:rPr>
          <w:rFonts w:ascii="仿宋_GB2312" w:hAnsi="仿宋_GB2312" w:cs="仿宋_GB2312" w:eastAsia="仿宋_GB2312"/>
        </w:rPr>
        <w:t>陕西博华项目管理有限公司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汉中市发展和改革委员会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汉中市发展和改革委员会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w:t>
      </w:r>
    </w:p>
    <w:p>
      <w:pPr>
        <w:pStyle w:val="null3"/>
      </w:pPr>
      <w:r>
        <w:rPr>
          <w:rFonts w:ascii="仿宋_GB2312" w:hAnsi="仿宋_GB2312" w:cs="仿宋_GB2312" w:eastAsia="仿宋_GB2312"/>
        </w:rPr>
        <w:t>联系电话：0916-8833222</w:t>
      </w:r>
    </w:p>
    <w:p>
      <w:pPr>
        <w:pStyle w:val="null3"/>
      </w:pPr>
      <w:r>
        <w:rPr>
          <w:rFonts w:ascii="仿宋_GB2312" w:hAnsi="仿宋_GB2312" w:cs="仿宋_GB2312" w:eastAsia="仿宋_GB2312"/>
        </w:rPr>
        <w:t>地址：汉台区莲湖东路⼀职⾼⼤⻔向东50⽶营业房三楼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全市苏陕协作及县域特色产品展销活动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全市苏陕协作及县域特色产品展销活动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标的名称：全市苏陕协作及县域特色产品展销活动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8"/>
              </w:rPr>
              <w:t>一、</w:t>
            </w:r>
            <w:r>
              <w:rPr>
                <w:rFonts w:ascii="仿宋_GB2312" w:hAnsi="仿宋_GB2312" w:cs="仿宋_GB2312" w:eastAsia="仿宋_GB2312"/>
                <w:sz w:val="28"/>
                <w:b/>
              </w:rPr>
              <w:t>采购项目概况</w:t>
            </w:r>
          </w:p>
          <w:p>
            <w:pPr>
              <w:pStyle w:val="null3"/>
              <w:ind w:firstLine="560"/>
              <w:jc w:val="left"/>
            </w:pPr>
            <w:r>
              <w:rPr>
                <w:rFonts w:ascii="仿宋_GB2312" w:hAnsi="仿宋_GB2312" w:cs="仿宋_GB2312" w:eastAsia="仿宋_GB2312"/>
                <w:sz w:val="28"/>
              </w:rPr>
              <w:t>紧扣全市县域经济高质量发展、常态化深化苏陕东西部协作工作部署，举办全市苏陕协作及县域特色产品展销活动。统一完成活动整体氛围设计、各县区标准展台搭建、现场配套设施布设、主题宣传物料制作、全程现场运维保障、活动影像拍摄归档等全流程服务，集中展示各县区特色农林产品、手工艺品、轻工特产及苏陕协作共建成果，搭建产销对接、商贸洽谈、品牌推广平台，拓宽汉中农特产品外销渠道，助力产业增效、群众增收。</w:t>
            </w:r>
          </w:p>
          <w:p>
            <w:pPr>
              <w:pStyle w:val="null3"/>
              <w:spacing w:before="105" w:after="105"/>
              <w:jc w:val="left"/>
            </w:pPr>
            <w:r>
              <w:rPr>
                <w:rFonts w:ascii="仿宋_GB2312" w:hAnsi="仿宋_GB2312" w:cs="仿宋_GB2312" w:eastAsia="仿宋_GB2312"/>
                <w:sz w:val="28"/>
                <w:b/>
              </w:rPr>
              <w:t>二、服务内容</w:t>
            </w:r>
          </w:p>
          <w:p>
            <w:pPr>
              <w:pStyle w:val="null3"/>
              <w:spacing w:before="105" w:after="105"/>
              <w:jc w:val="left"/>
            </w:pPr>
            <w:r>
              <w:rPr>
                <w:rFonts w:ascii="仿宋_GB2312" w:hAnsi="仿宋_GB2312" w:cs="仿宋_GB2312" w:eastAsia="仿宋_GB2312"/>
                <w:sz w:val="28"/>
              </w:rPr>
              <w:t>1.工作区域</w:t>
            </w:r>
          </w:p>
          <w:p>
            <w:pPr>
              <w:pStyle w:val="null3"/>
              <w:spacing w:before="105" w:after="105"/>
              <w:jc w:val="left"/>
            </w:pPr>
            <w:r>
              <w:rPr>
                <w:rFonts w:ascii="仿宋_GB2312" w:hAnsi="仿宋_GB2312" w:cs="仿宋_GB2312" w:eastAsia="仿宋_GB2312"/>
                <w:sz w:val="28"/>
              </w:rPr>
              <w:t>采购人指定地点</w:t>
            </w:r>
          </w:p>
          <w:p>
            <w:pPr>
              <w:pStyle w:val="null3"/>
              <w:spacing w:before="105" w:after="105"/>
              <w:jc w:val="left"/>
            </w:pPr>
            <w:r>
              <w:rPr>
                <w:rFonts w:ascii="仿宋_GB2312" w:hAnsi="仿宋_GB2312" w:cs="仿宋_GB2312" w:eastAsia="仿宋_GB2312"/>
                <w:sz w:val="28"/>
              </w:rPr>
              <w:t>2.工作内容</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编制活动整体策划、展区设计方案</w:t>
            </w:r>
            <w:r>
              <w:rPr>
                <w:rFonts w:ascii="仿宋_GB2312" w:hAnsi="仿宋_GB2312" w:cs="仿宋_GB2312" w:eastAsia="仿宋_GB2312"/>
                <w:sz w:val="28"/>
              </w:rPr>
              <w:t>；</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展位搭建、各类宣传物料制作与现场布置</w:t>
            </w:r>
            <w:r>
              <w:rPr>
                <w:rFonts w:ascii="仿宋_GB2312" w:hAnsi="仿宋_GB2312" w:cs="仿宋_GB2312" w:eastAsia="仿宋_GB2312"/>
                <w:sz w:val="28"/>
              </w:rPr>
              <w:t>；</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3）针对九县两区拍摄制作关于本此活动不低于45分钟的主题宣传视频；</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4）协调不低于三家融媒体官宣；</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客商接待、产销对接协调服务</w:t>
            </w:r>
            <w:r>
              <w:rPr>
                <w:rFonts w:ascii="仿宋_GB2312" w:hAnsi="仿宋_GB2312" w:cs="仿宋_GB2312" w:eastAsia="仿宋_GB2312"/>
                <w:sz w:val="28"/>
              </w:rPr>
              <w:t>；</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活动全程现场运维、应急保障</w:t>
            </w:r>
            <w:r>
              <w:rPr>
                <w:rFonts w:ascii="仿宋_GB2312" w:hAnsi="仿宋_GB2312" w:cs="仿宋_GB2312" w:eastAsia="仿宋_GB2312"/>
                <w:sz w:val="28"/>
              </w:rPr>
              <w:t>；</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全程照片、视频拍摄，留存宣传素材</w:t>
            </w:r>
            <w:r>
              <w:rPr>
                <w:rFonts w:ascii="仿宋_GB2312" w:hAnsi="仿宋_GB2312" w:cs="仿宋_GB2312" w:eastAsia="仿宋_GB2312"/>
                <w:sz w:val="28"/>
              </w:rPr>
              <w:t>；</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活动结束撤场清理，恢复场地原貌</w:t>
            </w:r>
            <w:r>
              <w:rPr>
                <w:rFonts w:ascii="仿宋_GB2312" w:hAnsi="仿宋_GB2312" w:cs="仿宋_GB2312" w:eastAsia="仿宋_GB2312"/>
                <w:sz w:val="28"/>
              </w:rPr>
              <w:t>；</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全套资料整理归档，提供</w:t>
            </w:r>
            <w:r>
              <w:rPr>
                <w:rFonts w:ascii="仿宋_GB2312" w:hAnsi="仿宋_GB2312" w:cs="仿宋_GB2312" w:eastAsia="仿宋_GB2312"/>
                <w:sz w:val="28"/>
              </w:rPr>
              <w:t>1个月免费后期配套服务</w:t>
            </w:r>
            <w:r>
              <w:rPr>
                <w:rFonts w:ascii="仿宋_GB2312" w:hAnsi="仿宋_GB2312" w:cs="仿宋_GB2312" w:eastAsia="仿宋_GB2312"/>
                <w:sz w:val="28"/>
              </w:rPr>
              <w:t>；</w:t>
            </w:r>
          </w:p>
          <w:p>
            <w:pPr>
              <w:pStyle w:val="null3"/>
              <w:spacing w:before="105" w:after="105"/>
              <w:jc w:val="left"/>
            </w:pPr>
            <w:r>
              <w:rPr>
                <w:rFonts w:ascii="仿宋_GB2312" w:hAnsi="仿宋_GB2312" w:cs="仿宋_GB2312" w:eastAsia="仿宋_GB2312"/>
                <w:sz w:val="28"/>
                <w:b/>
              </w:rPr>
              <w:t>三、技术要求</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1）内容贴合主题：整体策划方案、展台形象、宣传物料突出苏陕协作帮扶标识、汉中县域产业特色、地理标志农产品元素，契合政府展销活动宣传调性；</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2）现场统筹保障：统筹展销全流程，统一搭建1</w:t>
            </w:r>
            <w:r>
              <w:rPr>
                <w:rFonts w:ascii="仿宋_GB2312" w:hAnsi="仿宋_GB2312" w:cs="仿宋_GB2312" w:eastAsia="仿宋_GB2312"/>
                <w:sz w:val="28"/>
              </w:rPr>
              <w:t>1</w:t>
            </w:r>
            <w:r>
              <w:rPr>
                <w:rFonts w:ascii="仿宋_GB2312" w:hAnsi="仿宋_GB2312" w:cs="仿宋_GB2312" w:eastAsia="仿宋_GB2312"/>
                <w:sz w:val="28"/>
              </w:rPr>
              <w:t>个县区标准展位，配套陈列、灯光</w:t>
            </w:r>
            <w:r>
              <w:rPr>
                <w:rFonts w:ascii="仿宋_GB2312" w:hAnsi="仿宋_GB2312" w:cs="仿宋_GB2312" w:eastAsia="仿宋_GB2312"/>
                <w:sz w:val="28"/>
              </w:rPr>
              <w:t>、显示屏</w:t>
            </w:r>
            <w:r>
              <w:rPr>
                <w:rFonts w:ascii="仿宋_GB2312" w:hAnsi="仿宋_GB2312" w:cs="仿宋_GB2312" w:eastAsia="仿宋_GB2312"/>
                <w:sz w:val="28"/>
              </w:rPr>
              <w:t>等；提供水电、保洁、基础安保、物资搬运、应急处置等驻场配套服务；</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3）宣传及影像配套：完成主背景、门头、指引标识、打卡洽谈区等氛围打造；全程拍摄高清图片、短视频，完整留存活动全过程影像素材；</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4）应急保障：制定完善的应急预案，含人员、设备、天气、安全等突发情况处置方案，活动现场配备基础应急物资（如医药箱、灭火器等）；</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5）人员服务：所有工作人员需提前培训，熟悉活动流程及岗位职责，服务态度规范、专业，无投诉事件发生；</w:t>
            </w:r>
          </w:p>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6）成果要求</w:t>
            </w:r>
          </w:p>
          <w:p>
            <w:pPr>
              <w:pStyle w:val="null3"/>
              <w:spacing w:before="105" w:after="105"/>
              <w:jc w:val="left"/>
            </w:pPr>
            <w:r>
              <w:rPr>
                <w:rFonts w:ascii="仿宋_GB2312" w:hAnsi="仿宋_GB2312" w:cs="仿宋_GB2312" w:eastAsia="仿宋_GB2312"/>
                <w:sz w:val="28"/>
              </w:rPr>
              <w:t>①</w:t>
            </w:r>
            <w:r>
              <w:rPr>
                <w:rFonts w:ascii="仿宋_GB2312" w:hAnsi="仿宋_GB2312" w:cs="仿宋_GB2312" w:eastAsia="仿宋_GB2312"/>
                <w:sz w:val="28"/>
              </w:rPr>
              <w:t>展销活动完整执行方案、展位平面布置图、氛围设计效果图一套；</w:t>
            </w:r>
          </w:p>
          <w:p>
            <w:pPr>
              <w:pStyle w:val="null3"/>
              <w:spacing w:before="105" w:after="105"/>
              <w:jc w:val="left"/>
            </w:pPr>
            <w:r>
              <w:rPr>
                <w:rFonts w:ascii="仿宋_GB2312" w:hAnsi="仿宋_GB2312" w:cs="仿宋_GB2312" w:eastAsia="仿宋_GB2312"/>
                <w:sz w:val="28"/>
              </w:rPr>
              <w:t>②</w:t>
            </w:r>
            <w:r>
              <w:rPr>
                <w:rFonts w:ascii="仿宋_GB2312" w:hAnsi="仿宋_GB2312" w:cs="仿宋_GB2312" w:eastAsia="仿宋_GB2312"/>
                <w:sz w:val="28"/>
              </w:rPr>
              <w:t>活动全程高清照片、短视频原始影像电子版全套归档素材；</w:t>
            </w:r>
          </w:p>
          <w:p>
            <w:pPr>
              <w:pStyle w:val="null3"/>
              <w:spacing w:before="105" w:after="105"/>
              <w:jc w:val="left"/>
            </w:pPr>
            <w:r>
              <w:rPr>
                <w:rFonts w:ascii="仿宋_GB2312" w:hAnsi="仿宋_GB2312" w:cs="仿宋_GB2312" w:eastAsia="仿宋_GB2312"/>
                <w:sz w:val="28"/>
              </w:rPr>
              <w:t>③</w:t>
            </w:r>
            <w:r>
              <w:rPr>
                <w:rFonts w:ascii="仿宋_GB2312" w:hAnsi="仿宋_GB2312" w:cs="仿宋_GB2312" w:eastAsia="仿宋_GB2312"/>
                <w:sz w:val="28"/>
              </w:rPr>
              <w:t>展台搭建物料清单、现场完工验收资料。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详见服务内容及技术要求，对本项目配备相关服务人员。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详见服务内容及技术要求，对本项目投入相关设施设备。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详见服务内容及技术要求，满足需求。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按双方签订的合同要求为准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进度款，成交供应商出具成果报告后经采购人验收合格，达到付款条件起10个工作日内，支付合同总金额的100.0%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（1）乙方未按时完成方案、布展、撤场或交付资料，每逾期1天按合同总价0.3%支付违约金；逾期超3天，甲方可解除合同并索赔。 （2）展台、物料、影像成果不符合要求，乙方须3日内免费整改；拒不整改甲方扣除相应款项。 （3）服务保障不到位、擅自转包项目、产生知识产权侵权的，乙方承担全部损失并支付违约金。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1、各投标⼈应根据“陕西省财政厅 陕财办采函[2023]14号⽂”陕西省财政厅关于省级预算单位全⾯推⾏政府采购项⽬电⼦化交易的通知”、《政府采购项⽬电⼦化交易规则》等⽂件的要求，做好⼈员配备、设施设备、系统操作的相应准备，熟悉并正确实施相关操作流程，承担由于操作或其他因素造成的不利后果。2、中标⼈在采购结果发布后3个⼯作⽇内向代理机构提交纸质版投标⽂件以便于存档，投标⽂件正本1份，副本1份（可以使⽤签章⽂件直接打印），电⼦版⽂件1份（以U盘为载体，PDF格式），纸质投标⽂件均须A4纸打印，分别各⾃装订成册。线下递交响应⽂件地点：汉台区莲湖东路⼀职⾼⼤⻔向东50⽶营业房三楼。 3、磋商保证⾦注意事项：（1）磋商保证⾦须从供应商⼾名⽀付，如从个⼈⼾名或⾮供应商⼾名⽀付，将被拒绝，视为⾃动放弃投标权利（该个⼈是供应商的情形除外）；以电⼦保函形式交纳磋商保证⾦的，供应商应在响应截⽌时间前将电⼦保函发送⾄邮箱664638932@qq.com（邮件命名：项⽬编号）。保证金缴纳须备注项目编号或项目名称。（2）磋商保证⾦的提交⾦额、时间不满⾜磋商⽂件要求的，投标⽆效。（3）未按指定账⼾提交的，我公司将退回，供应商须在⽂件递交截⽌时间前按照指定账⼾再次提交。(4)保证⾦的退还按照《中华⼈⺠共和国政府采购法实施条例》第三⼗三条、《政府采购货物和服务招标投标管理办法》（财政部令第 87 号）第三⼗⼋条规定执⾏。(5)成交供应商可在中标结果公⽰后的3个⼯作⽇内，前往代理公司领取加盖采购⼈及代理公司公章的纸质版成交通知书。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供应商需在项⽬电⼦化交易系统中按要求上传《汉中市政府采购供应商资格承诺函》并进⾏电⼦签章。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具有独立承担民事责任能力的企业法人、事业法人、其他组织或自然人,企业法人应提供具有统一社会信用代码的营业执照,事业法人应提供事业单位法人证,其他组织应提供合法证明文件,自然人提供身份证明文件;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合法的授权</w:t>
            </w:r>
          </w:p>
        </w:tc>
        <w:tc>
          <w:tcPr>
            <w:tcW w:type="dxa" w:w="3322"/>
          </w:tcPr>
          <w:p>
            <w:pPr>
              <w:pStyle w:val="null3"/>
            </w:pPr>
            <w:r>
              <w:rPr>
                <w:rFonts w:ascii="仿宋_GB2312" w:hAnsi="仿宋_GB2312" w:cs="仿宋_GB2312" w:eastAsia="仿宋_GB2312"/>
              </w:rPr>
              <w:t>法定代表人（其他组织、自然人）直接参加投标只须提供法定代表人（其他组织、自然人）身份证明书及身份证加盖公章，法定代表人授权他人参加的，须提供法定代表人授权委托书及被授权人身份证加盖公章;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本项目不接受联合体投标，不允许分包。投标供应商应提供《非联合体不分包投标声明》。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响应⽂件的签署、盖章及格式</w:t>
            </w:r>
          </w:p>
        </w:tc>
        <w:tc>
          <w:tcPr>
            <w:tcW w:type="dxa" w:w="3322"/>
          </w:tcPr>
          <w:p>
            <w:pPr>
              <w:pStyle w:val="null3"/>
            </w:pPr>
            <w:r>
              <w:rPr>
                <w:rFonts w:ascii="仿宋_GB2312" w:hAnsi="仿宋_GB2312" w:cs="仿宋_GB2312" w:eastAsia="仿宋_GB2312"/>
              </w:rPr>
              <w:t>满⾜采购⽂件中响应⽂件的签署、盖章及格式要求</w:t>
            </w:r>
          </w:p>
        </w:tc>
        <w:tc>
          <w:tcPr>
            <w:tcW w:type="dxa" w:w="1661"/>
          </w:tcPr>
          <w:p>
            <w:pPr>
              <w:pStyle w:val="null3"/>
            </w:pPr>
            <w:r>
              <w:rPr>
                <w:rFonts w:ascii="仿宋_GB2312" w:hAnsi="仿宋_GB2312" w:cs="仿宋_GB2312" w:eastAsia="仿宋_GB2312"/>
              </w:rPr>
              <w:t>响应文件封面 服务方案.pdf 中小企业声明函 残疾人福利性单位声明函 供应商应提交的相关资格证明材料.pdf 商务要求响应表.pdf 标的清单 报价表 其他资料.pdf 响应函 监狱企业的证明文件 服务内容及服务要求应答表.pdf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满⾜磋商⽂件中要求的服务期限</w:t>
            </w:r>
          </w:p>
        </w:tc>
        <w:tc>
          <w:tcPr>
            <w:tcW w:type="dxa" w:w="1661"/>
          </w:tcPr>
          <w:p>
            <w:pPr>
              <w:pStyle w:val="null3"/>
            </w:pPr>
            <w:r>
              <w:rPr>
                <w:rFonts w:ascii="仿宋_GB2312" w:hAnsi="仿宋_GB2312" w:cs="仿宋_GB2312" w:eastAsia="仿宋_GB2312"/>
              </w:rPr>
              <w:t>商务要求响应表.pdf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响应⽂件内容</w:t>
            </w:r>
          </w:p>
        </w:tc>
        <w:tc>
          <w:tcPr>
            <w:tcW w:type="dxa" w:w="3322"/>
          </w:tcPr>
          <w:p>
            <w:pPr>
              <w:pStyle w:val="null3"/>
            </w:pPr>
            <w:r>
              <w:rPr>
                <w:rFonts w:ascii="仿宋_GB2312" w:hAnsi="仿宋_GB2312" w:cs="仿宋_GB2312" w:eastAsia="仿宋_GB2312"/>
              </w:rPr>
              <w:t>响应⽂件内容⻬全、⽆遗漏</w:t>
            </w:r>
          </w:p>
        </w:tc>
        <w:tc>
          <w:tcPr>
            <w:tcW w:type="dxa" w:w="1661"/>
          </w:tcPr>
          <w:p>
            <w:pPr>
              <w:pStyle w:val="null3"/>
            </w:pPr>
            <w:r>
              <w:rPr>
                <w:rFonts w:ascii="仿宋_GB2312" w:hAnsi="仿宋_GB2312" w:cs="仿宋_GB2312" w:eastAsia="仿宋_GB2312"/>
              </w:rPr>
              <w:t>响应文件封面 服务方案.pdf 中小企业声明函 残疾人福利性单位声明函 供应商应提交的相关资格证明材料.pdf 商务要求响应表.pdf 标的清单 报价表 其他资料.pdf 响应函 监狱企业的证明文件 服务内容及服务要求应答表.pdf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供应商应按照磋商⽂件要求⾜额缴纳投标保证⾦，并提供相关凭证</w:t>
            </w:r>
          </w:p>
        </w:tc>
        <w:tc>
          <w:tcPr>
            <w:tcW w:type="dxa" w:w="1661"/>
          </w:tcPr>
          <w:p>
            <w:pPr>
              <w:pStyle w:val="null3"/>
            </w:pPr>
            <w:r>
              <w:rPr>
                <w:rFonts w:ascii="仿宋_GB2312" w:hAnsi="仿宋_GB2312" w:cs="仿宋_GB2312" w:eastAsia="仿宋_GB2312"/>
              </w:rPr>
              <w:t>其他资料.pdf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针对本项目提供对项目的理解，包括但不限于①项目背景、内容及意义的理解；②项目重点难点分析及应对措施；③对项目功能定位和需求的理解。方案各部分内容全面、阐述条理清晰详尽、符合本项目采购需求且描述详细可行性强得6分；以上分项每缺少一项内容扣2分；每一项评审内容中每出现一处缺陷扣 1分，扣完为止；未提供不得分。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展销资源整合方案</w:t>
            </w:r>
          </w:p>
        </w:tc>
        <w:tc>
          <w:tcPr>
            <w:tcW w:type="dxa" w:w="2492"/>
          </w:tcPr>
          <w:p>
            <w:pPr>
              <w:pStyle w:val="null3"/>
            </w:pPr>
            <w:r>
              <w:rPr>
                <w:rFonts w:ascii="仿宋_GB2312" w:hAnsi="仿宋_GB2312" w:cs="仿宋_GB2312" w:eastAsia="仿宋_GB2312"/>
              </w:rPr>
              <w:t>针对本项目要求提供展销资源整合方案，包括但不限于①参展资源收集整合方案；②各类参展主体动员方案；③参展资料归集与台账建立等。方案各部分内容全面、阐述条理清晰详尽、符合本项目采购需求且描述详细可行性强得6分；以上分项每缺少一项内容扣2分；每一项评审内容中每出现一处缺陷扣 1分，扣完为止；未提供不得分。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活动场地搭建及统筹方案</w:t>
            </w:r>
          </w:p>
        </w:tc>
        <w:tc>
          <w:tcPr>
            <w:tcW w:type="dxa" w:w="2492"/>
          </w:tcPr>
          <w:p>
            <w:pPr>
              <w:pStyle w:val="null3"/>
            </w:pPr>
            <w:r>
              <w:rPr>
                <w:rFonts w:ascii="仿宋_GB2312" w:hAnsi="仿宋_GB2312" w:cs="仿宋_GB2312" w:eastAsia="仿宋_GB2312"/>
              </w:rPr>
              <w:t>针对本项目提供项目活动场地搭建及统筹方案，包括但不限于①场地布展与搭建及物料准备；②会场现场的应急、组织及协调方案；③宣传片制作实施方案等。方案各部分内容全面、阐述条理清晰详尽、符合本项目采购需求且描述详细可行性强得6分；以上分项每缺少一项内容扣2分；每一项评审内容中每出现一处缺陷扣 1分，扣完为止；未提供不得分。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场地视觉设计方案</w:t>
            </w:r>
          </w:p>
        </w:tc>
        <w:tc>
          <w:tcPr>
            <w:tcW w:type="dxa" w:w="2492"/>
          </w:tcPr>
          <w:p>
            <w:pPr>
              <w:pStyle w:val="null3"/>
            </w:pPr>
            <w:r>
              <w:rPr>
                <w:rFonts w:ascii="仿宋_GB2312" w:hAnsi="仿宋_GB2312" w:cs="仿宋_GB2312" w:eastAsia="仿宋_GB2312"/>
              </w:rPr>
              <w:t>针对本项目提供场地视觉设计方案，内容包括但不限于：①场地视觉设计方案；②设计进度保障方案；③设计效果保障方案等。方案各部分内容全面、阐述条理清晰详尽、符合本项目采购需求且描述详细可行性强得6分；以上分项每缺少一项内容扣2分；每一项评审内容中每出现一处缺陷扣 1分，扣完为止；未提供不得分。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针对本项目需求提供宣传推广方案，包括但不限于：①各级媒体及各类官方媒体资源整合及对接，包含传统媒体和新媒体；②宣传效果保障方案；③舆论监测方案与快速应对机制。方案各部分内容全面、阐述条理清晰详尽、符合本项目采购需求且描述详细可行性强得6分；以上分项每缺少一项内容扣2分；每一项评审内容中每出现一处缺陷扣 1分，扣完为止；未提供不得分。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服务质量及进度计划保障措施</w:t>
            </w:r>
          </w:p>
        </w:tc>
        <w:tc>
          <w:tcPr>
            <w:tcW w:type="dxa" w:w="2492"/>
          </w:tcPr>
          <w:p>
            <w:pPr>
              <w:pStyle w:val="null3"/>
            </w:pPr>
            <w:r>
              <w:rPr>
                <w:rFonts w:ascii="仿宋_GB2312" w:hAnsi="仿宋_GB2312" w:cs="仿宋_GB2312" w:eastAsia="仿宋_GB2312"/>
              </w:rPr>
              <w:t>针对本项目提供服务质量及进度计划保障措施，包括但不限于①服务质量保障措施；②进度计划安排；③进度保障措施；方案各部分内容全面、阐述条理清晰详尽、符合本项目采购需求且描述详细可行性强得6分；以上分项每缺少一项内容扣2分；每一项评审内容中每出现一处缺陷扣 1分，扣完为止；未提供不得分。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针对本项目提供后期服务方案，包括但不限于①会场后期宣传；②活动成果素材汇总、整理与资料移交；③会场撤展方案④产销对接后续跟踪服务。方案各部分内容全面、阐述条理清晰详尽、符合本项目采购需求且描述详细可行性强得4分；以上分项每缺少一项内容扣1分；每一项评审内容中每出现一处缺陷扣0.5分，扣完为止；未提供不得分。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须为本项目配备6类岗位人员：①项目负责人②策划设计专员③宣传影像专员④会务现场运维专员⑤产销对接专员⑥撤展及后期资料专员。全部配齐得12分，每缺失一类岗位扣2分，扣完为止；其中拟派项目负责人具备 3 年（含）以上展销承办履职经验并提供佐证材料得 3 分，不满足不得分；拟派宣传影像专员≥2人，2人均具备2年（含）以上相关工作经验并提供佐证材料得 5 分；人数不足2人及工作经验不足2年的不得分。相关佐证材料包括但不限于⼯作证明、合同、荣誉证书等，不提供不得分（提供佐证材料扫描件或复印件并加盖供应商公章）。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供应商须针对本项目提供以下设备：高清视频拍摄设备（地面摄像机）、灯光设备、便携式LED屏、音响系统、无人机（航拍设备）。须提供设备清单，并提供对应佐证材料：自有设备购置发票或租赁协议；佐证材料为扫描件或复印件并加盖供应商公章。全部设备齐全，且每一类设备对应的佐证材料完整有效得10 分，上述设备每缺少一类或该类设备佐证材料缺失的扣 2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供应商针对本项⽬提供服务承诺，包括但不限于①提供 24 小时服务响应，服务期内按采购人要求及时汇报项目进展，建立完整项目工作台账②活动当天安排不少于5名（可兼职）统筹⼈员全程驻场，并服从采购人现场工作安排③布展阶段安排夜间值守人员，保障物料、展具存放安全，不额外增加采购成本④配合采购人完成项目验收，根据验收意见及时整改⑤活动完成后7个工作日内出具完整活动实施总结报告，包含客流、对接成果汇总⑥安排专人对活动所有影像素材分类标注、建立电子档案目录，便于甲方归档⑦活动结束后提供1个月免费配套服务的基础上，延长至3个月素材免费存储、调取、格式转换服务⑧活动现场配备全套应急备用搭建辅料、灯光设备，出现损坏可即时更换，保障活动不间断开展。每具有⼀项详细承诺得1分，最⾼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供应商针对本项目提供合理化建议。每提供一项经评审小组一致认定有利于项目实施的建议计1分，满分2分。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1⽇起⾄响应⽂件递交截⽌时间⽌完成的类似项⽬业绩，每提供⼀个得2.5分,最⾼5分。业绩证明材料：须提供清晰的合同扫描件或复印件并加盖供应商公章，时间以合同签订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价格分采⽤低价优先法计算，即满⾜磋商⽂件要求且投标价格最低的投标报价为评标基准价，其价格分为满分。其他投标供应商的价格分统⼀按照下列公式计算：报价得分 =（评标基准价/投标报价）×15，计算分数时四舍五⼊取⼩数点后两位。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详见附件：其他资料.pdf</w:t>
      </w:r>
    </w:p>
    <w:p>
      <w:pPr>
        <w:pStyle w:val="null3"/>
        <w:ind w:firstLine="960"/>
      </w:pPr>
      <w:r>
        <w:rPr>
          <w:rFonts w:ascii="仿宋_GB2312" w:hAnsi="仿宋_GB2312" w:cs="仿宋_GB2312" w:eastAsia="仿宋_GB2312"/>
        </w:rPr>
        <w:t>详见附件：商务要求响应表.pdf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