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版本号：【KRDL】K4-2606093-0220260731001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东区24户外墙防水维修项目（二次）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【KRDL】K4-2606093-02</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东区24户外墙防水维修项目（二次）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【KRDL】K4-2606093-02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东区24户外墙防水维修项目（二次）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邮电大学东区24户外墙防水维修项目（二次），工程内容包含对东区24户外墙拆除原外墙面层、保温层；外墙墙面缝隙、孔洞填充；外墙面涂刷防水材料；新做外墙保温板、挂网、粉面、外墙涂料；高空吊篮；建筑垃圾外运等工作，具体以本项目竞争性竞争性磋商文件、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采购包1（东区24户外墙防水维修项目（二次））：属于专门面向中小企业采购。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2、供应商资质要求1：供应商须具备建设行政主管部门颁发合法有效的防水防腐保温工程专业承包二级（含）以上资质，且在人员、设备、资金等方面具备相应施工能力；</w:t>
      </w:r>
    </w:p>
    <w:p>
      <w:pPr>
        <w:pStyle w:val="null3"/>
      </w:pPr>
      <w:r>
        <w:rPr>
          <w:rFonts w:ascii="仿宋_GB2312" w:hAnsi="仿宋_GB2312" w:cs="仿宋_GB2312" w:eastAsia="仿宋_GB2312"/>
        </w:rPr>
        <w:t>3、供应商资质要求2：供应商具备有效的安全生产许可证，且未被“全国工程质量安全监管信息平台公共服务门户”网站列为暂扣或吊销状态；</w:t>
      </w:r>
    </w:p>
    <w:p>
      <w:pPr>
        <w:pStyle w:val="null3"/>
      </w:pPr>
      <w:r>
        <w:rPr>
          <w:rFonts w:ascii="仿宋_GB2312" w:hAnsi="仿宋_GB2312" w:cs="仿宋_GB2312" w:eastAsia="仿宋_GB2312"/>
        </w:rPr>
        <w:t>4、供应商拟派项目经理资质和专业要求：拟派项目经理应具备建筑工程专业二级（含）以上注册建造师执业资格及合法有效的安全生产考核合格证（安全B证），在本单位注册且无在建工程；</w:t>
      </w:r>
    </w:p>
    <w:p>
      <w:pPr>
        <w:pStyle w:val="null3"/>
      </w:pPr>
      <w:r>
        <w:rPr>
          <w:rFonts w:ascii="仿宋_GB2312" w:hAnsi="仿宋_GB2312" w:cs="仿宋_GB2312" w:eastAsia="仿宋_GB2312"/>
        </w:rPr>
        <w:t>5、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6、其他要求：供应商及其拟派项目经理须在“陕西省住房和城乡建设厅”官方网站可查询；如供应商为外省进陕企业，还须同时提供“陕西省住房和城乡建设厅”官网企业库外省进陕施工企业信息首页截图；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采购包1：322,383.86元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说明：合同签订前向采购人缴纳成交金额的5%作为保证金，验收合格后无质量问题无息退还。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代理服务费收费标准：参照国家计委颁布的《招标代理服务收费管理暂行办法》（计价格[2002]1980号）及发改办价格[2003]857号文件的规定标准收取，本项目代理服务费按服务计取。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踏勘时间：2026-08-10 09:30:00</w:t>
            </w:r>
          </w:p>
          <w:p>
            <w:pPr>
              <w:pStyle w:val="null3"/>
              <w:ind w:firstLine="975"/>
            </w:pPr>
            <w:r>
              <w:rPr>
                <w:rFonts w:ascii="仿宋_GB2312" w:hAnsi="仿宋_GB2312" w:cs="仿宋_GB2312" w:eastAsia="仿宋_GB2312"/>
              </w:rPr>
              <w:t>踏勘地点：西安邮电大学长安校区东区</w:t>
            </w:r>
          </w:p>
          <w:p>
            <w:pPr>
              <w:pStyle w:val="null3"/>
              <w:ind w:firstLine="975"/>
            </w:pPr>
            <w:r>
              <w:rPr>
                <w:rFonts w:ascii="仿宋_GB2312" w:hAnsi="仿宋_GB2312" w:cs="仿宋_GB2312" w:eastAsia="仿宋_GB2312"/>
              </w:rPr>
              <w:t>联系人：刘工</w:t>
            </w:r>
          </w:p>
          <w:p>
            <w:pPr>
              <w:pStyle w:val="null3"/>
              <w:ind w:firstLine="975"/>
            </w:pPr>
            <w:r>
              <w:rPr>
                <w:rFonts w:ascii="仿宋_GB2312" w:hAnsi="仿宋_GB2312" w:cs="仿宋_GB2312" w:eastAsia="仿宋_GB2312"/>
              </w:rPr>
              <w:t>联系电话号码：15229797656</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采购人在中华人民共和国境内使用供应商提供工程或货物或服务时免受第三方提出的侵犯其专利权或其它知识产权的起诉。如果第三方提出侵权指控，成交供应商应承担由此而引起的一切法律责任和费用。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联系电话：029-89581863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322,383.86</w:t>
      </w:r>
    </w:p>
    <w:p>
      <w:pPr>
        <w:pStyle w:val="null3"/>
      </w:pPr>
      <w:r>
        <w:rPr>
          <w:rFonts w:ascii="仿宋_GB2312" w:hAnsi="仿宋_GB2312" w:cs="仿宋_GB2312" w:eastAsia="仿宋_GB2312"/>
        </w:rPr>
        <w:t>采购包最高限价（元）: 322,383.86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西安邮电大学东区24户外墙防水维修项目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322,383.86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标的名称：西安邮电大学东区24户外墙防水维修项目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color w:val="0000FF"/>
              </w:rPr>
              <w:t>一、项目概况</w:t>
            </w:r>
          </w:p>
          <w:p>
            <w:pPr>
              <w:pStyle w:val="null3"/>
              <w:ind w:firstLine="480"/>
            </w:pPr>
            <w:r>
              <w:rPr>
                <w:rFonts w:ascii="仿宋_GB2312" w:hAnsi="仿宋_GB2312" w:cs="仿宋_GB2312" w:eastAsia="仿宋_GB2312"/>
                <w:sz w:val="24"/>
                <w:color w:val="0000FF"/>
              </w:rPr>
              <w:t>西安邮电大学</w:t>
            </w:r>
            <w:r>
              <w:rPr>
                <w:rFonts w:ascii="仿宋_GB2312" w:hAnsi="仿宋_GB2312" w:cs="仿宋_GB2312" w:eastAsia="仿宋_GB2312"/>
                <w:sz w:val="24"/>
                <w:color w:val="0000FF"/>
              </w:rPr>
              <w:t>东区</w:t>
            </w:r>
            <w:r>
              <w:rPr>
                <w:rFonts w:ascii="仿宋_GB2312" w:hAnsi="仿宋_GB2312" w:cs="仿宋_GB2312" w:eastAsia="仿宋_GB2312"/>
                <w:sz w:val="24"/>
                <w:color w:val="0000FF"/>
              </w:rPr>
              <w:t>24户外墙防水维修项目（二次）</w:t>
            </w:r>
            <w:r>
              <w:rPr>
                <w:rFonts w:ascii="仿宋_GB2312" w:hAnsi="仿宋_GB2312" w:cs="仿宋_GB2312" w:eastAsia="仿宋_GB2312"/>
                <w:sz w:val="24"/>
                <w:color w:val="0000FF"/>
              </w:rPr>
              <w:t>，工程内容包含对东区</w:t>
            </w:r>
            <w:r>
              <w:rPr>
                <w:rFonts w:ascii="仿宋_GB2312" w:hAnsi="仿宋_GB2312" w:cs="仿宋_GB2312" w:eastAsia="仿宋_GB2312"/>
                <w:sz w:val="24"/>
                <w:color w:val="0000FF"/>
              </w:rPr>
              <w:t>24户外墙拆除原外墙面层、保温层；外墙墙面缝隙、孔洞填充；外墙面涂刷防水材料；新做外墙保温板、挂网、粉面、外墙涂料；高空吊篮；建筑垃圾外运等工作。</w:t>
            </w:r>
          </w:p>
          <w:p>
            <w:pPr>
              <w:pStyle w:val="null3"/>
              <w:ind w:firstLine="482"/>
            </w:pPr>
            <w:r>
              <w:rPr>
                <w:rFonts w:ascii="仿宋_GB2312" w:hAnsi="仿宋_GB2312" w:cs="仿宋_GB2312" w:eastAsia="仿宋_GB2312"/>
                <w:sz w:val="24"/>
                <w:b/>
                <w:color w:val="0000FF"/>
              </w:rPr>
              <w:t>二、工程技术标准及要求</w:t>
            </w:r>
          </w:p>
          <w:p>
            <w:pPr>
              <w:pStyle w:val="null3"/>
              <w:ind w:firstLine="482"/>
            </w:pPr>
            <w:r>
              <w:rPr>
                <w:rFonts w:ascii="仿宋_GB2312" w:hAnsi="仿宋_GB2312" w:cs="仿宋_GB2312" w:eastAsia="仿宋_GB2312"/>
                <w:sz w:val="24"/>
                <w:b/>
                <w:color w:val="0000FF"/>
              </w:rPr>
              <w:t>（一）项目</w:t>
            </w:r>
            <w:r>
              <w:rPr>
                <w:rFonts w:ascii="仿宋_GB2312" w:hAnsi="仿宋_GB2312" w:cs="仿宋_GB2312" w:eastAsia="仿宋_GB2312"/>
                <w:sz w:val="24"/>
                <w:b/>
                <w:color w:val="0000FF"/>
              </w:rPr>
              <w:t>执行</w:t>
            </w:r>
            <w:r>
              <w:rPr>
                <w:rFonts w:ascii="仿宋_GB2312" w:hAnsi="仿宋_GB2312" w:cs="仿宋_GB2312" w:eastAsia="仿宋_GB2312"/>
                <w:sz w:val="24"/>
                <w:b/>
                <w:color w:val="0000FF"/>
              </w:rPr>
              <w:t>标准</w:t>
            </w:r>
            <w:r>
              <w:rPr>
                <w:rFonts w:ascii="仿宋_GB2312" w:hAnsi="仿宋_GB2312" w:cs="仿宋_GB2312" w:eastAsia="仿宋_GB2312"/>
                <w:sz w:val="24"/>
                <w:b/>
                <w:color w:val="0000FF"/>
              </w:rPr>
              <w:t>及规范</w:t>
            </w:r>
          </w:p>
          <w:p>
            <w:pPr>
              <w:pStyle w:val="null3"/>
              <w:ind w:firstLine="480"/>
            </w:pPr>
            <w:r>
              <w:rPr>
                <w:rFonts w:ascii="仿宋_GB2312" w:hAnsi="仿宋_GB2312" w:cs="仿宋_GB2312" w:eastAsia="仿宋_GB2312"/>
                <w:sz w:val="24"/>
                <w:color w:val="0000FF"/>
              </w:rPr>
              <w:t>1.满足国家建筑工程施工及验收规范标准以及材料、设备所涉及的现行国家、省、市或行业的工程建设标准、规范的要求。以上技术规范由承包人自备，如有不足之处或未能达到国家最新标准时，承包人应使施工及选用的材料符合最新版本的国家标准、规范。</w:t>
            </w:r>
          </w:p>
          <w:p>
            <w:pPr>
              <w:pStyle w:val="null3"/>
              <w:ind w:firstLine="480"/>
            </w:pPr>
            <w:r>
              <w:rPr>
                <w:rFonts w:ascii="仿宋_GB2312" w:hAnsi="仿宋_GB2312" w:cs="仿宋_GB2312" w:eastAsia="仿宋_GB2312"/>
                <w:sz w:val="24"/>
                <w:color w:val="0000FF"/>
              </w:rPr>
              <w:t>2.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pPr>
            <w:r>
              <w:rPr>
                <w:rFonts w:ascii="仿宋_GB2312" w:hAnsi="仿宋_GB2312" w:cs="仿宋_GB2312" w:eastAsia="仿宋_GB2312"/>
                <w:sz w:val="24"/>
                <w:color w:val="0000FF"/>
              </w:rPr>
              <w:t>1.1《屋面工程质量验收规范》（GB 50207-2012）</w:t>
            </w:r>
          </w:p>
          <w:p>
            <w:pPr>
              <w:pStyle w:val="null3"/>
              <w:ind w:firstLine="480"/>
            </w:pPr>
            <w:r>
              <w:rPr>
                <w:rFonts w:ascii="仿宋_GB2312" w:hAnsi="仿宋_GB2312" w:cs="仿宋_GB2312" w:eastAsia="仿宋_GB2312"/>
                <w:sz w:val="24"/>
                <w:color w:val="0000FF"/>
              </w:rPr>
              <w:t>1.2《屋面工程技术规范》（GB 50345-2012）</w:t>
            </w:r>
          </w:p>
          <w:p>
            <w:pPr>
              <w:pStyle w:val="null3"/>
              <w:ind w:firstLine="480"/>
            </w:pPr>
            <w:r>
              <w:rPr>
                <w:rFonts w:ascii="仿宋_GB2312" w:hAnsi="仿宋_GB2312" w:cs="仿宋_GB2312" w:eastAsia="仿宋_GB2312"/>
                <w:sz w:val="24"/>
                <w:color w:val="0000FF"/>
              </w:rPr>
              <w:t>1.</w:t>
            </w:r>
            <w:r>
              <w:rPr>
                <w:rFonts w:ascii="仿宋_GB2312" w:hAnsi="仿宋_GB2312" w:cs="仿宋_GB2312" w:eastAsia="仿宋_GB2312"/>
                <w:sz w:val="24"/>
                <w:color w:val="0000FF"/>
              </w:rPr>
              <w:t>3</w:t>
            </w:r>
            <w:r>
              <w:rPr>
                <w:rFonts w:ascii="仿宋_GB2312" w:hAnsi="仿宋_GB2312" w:cs="仿宋_GB2312" w:eastAsia="仿宋_GB2312"/>
                <w:sz w:val="24"/>
                <w:color w:val="0000FF"/>
              </w:rPr>
              <w:t>《建筑与市政工程防水通用规范》（</w:t>
            </w:r>
            <w:r>
              <w:rPr>
                <w:rFonts w:ascii="仿宋_GB2312" w:hAnsi="仿宋_GB2312" w:cs="仿宋_GB2312" w:eastAsia="仿宋_GB2312"/>
                <w:sz w:val="24"/>
                <w:color w:val="0000FF"/>
              </w:rPr>
              <w:t>GB 55030-2022）</w:t>
            </w:r>
          </w:p>
          <w:p>
            <w:pPr>
              <w:pStyle w:val="null3"/>
              <w:ind w:firstLine="480"/>
            </w:pPr>
            <w:r>
              <w:rPr>
                <w:rFonts w:ascii="仿宋_GB2312" w:hAnsi="仿宋_GB2312" w:cs="仿宋_GB2312" w:eastAsia="仿宋_GB2312"/>
                <w:sz w:val="24"/>
                <w:color w:val="0000FF"/>
              </w:rPr>
              <w:t>1.</w:t>
            </w:r>
            <w:r>
              <w:rPr>
                <w:rFonts w:ascii="仿宋_GB2312" w:hAnsi="仿宋_GB2312" w:cs="仿宋_GB2312" w:eastAsia="仿宋_GB2312"/>
                <w:sz w:val="24"/>
                <w:color w:val="0000FF"/>
              </w:rPr>
              <w:t>4</w:t>
            </w:r>
            <w:r>
              <w:rPr>
                <w:rFonts w:ascii="仿宋_GB2312" w:hAnsi="仿宋_GB2312" w:cs="仿宋_GB2312" w:eastAsia="仿宋_GB2312"/>
                <w:sz w:val="24"/>
                <w:color w:val="0000FF"/>
              </w:rPr>
              <w:t>《建筑工程施工质量验收统一标准》（</w:t>
            </w:r>
            <w:r>
              <w:rPr>
                <w:rFonts w:ascii="仿宋_GB2312" w:hAnsi="仿宋_GB2312" w:cs="仿宋_GB2312" w:eastAsia="仿宋_GB2312"/>
                <w:sz w:val="24"/>
                <w:color w:val="0000FF"/>
              </w:rPr>
              <w:t>GB 50300-2013）</w:t>
            </w:r>
          </w:p>
          <w:p>
            <w:pPr>
              <w:pStyle w:val="null3"/>
              <w:ind w:firstLine="480"/>
            </w:pPr>
            <w:r>
              <w:rPr>
                <w:rFonts w:ascii="仿宋_GB2312" w:hAnsi="仿宋_GB2312" w:cs="仿宋_GB2312" w:eastAsia="仿宋_GB2312"/>
                <w:sz w:val="24"/>
                <w:color w:val="0000FF"/>
              </w:rPr>
              <w:t>3.本工程其他技术标准及要求执行现行规范和采购人实际需求。</w:t>
            </w:r>
          </w:p>
          <w:p>
            <w:pPr>
              <w:pStyle w:val="null3"/>
              <w:ind w:firstLine="482"/>
            </w:pP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技术要求</w:t>
            </w:r>
          </w:p>
          <w:p>
            <w:pPr>
              <w:pStyle w:val="null3"/>
              <w:ind w:firstLine="480"/>
              <w:jc w:val="both"/>
            </w:pPr>
            <w:r>
              <w:rPr>
                <w:rFonts w:ascii="仿宋_GB2312" w:hAnsi="仿宋_GB2312" w:cs="仿宋_GB2312" w:eastAsia="仿宋_GB2312"/>
                <w:sz w:val="24"/>
                <w:color w:val="0000FF"/>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color w:val="0000FF"/>
              </w:rPr>
              <w:t>2.本工程其他技术标准及要求执行现行规范和采购人实际需求。</w:t>
            </w:r>
          </w:p>
          <w:p>
            <w:pPr>
              <w:pStyle w:val="null3"/>
              <w:ind w:firstLine="480"/>
              <w:jc w:val="both"/>
            </w:pPr>
            <w:r>
              <w:rPr>
                <w:rFonts w:ascii="仿宋_GB2312" w:hAnsi="仿宋_GB2312" w:cs="仿宋_GB2312" w:eastAsia="仿宋_GB2312"/>
                <w:sz w:val="24"/>
                <w:color w:val="0000FF"/>
              </w:rPr>
              <w:t>3.在施工过程中，如果国家或有关部门颁布了新的技术部分准或规范，则承包人应采用新的标准或规范进行施工。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color w:val="0000FF"/>
              </w:rPr>
              <w:t>4.采购人提供工程的施工方案和相关技术文件，是采购人现有的能被供应商利用的资料，采购人对供应商做出的任何推论、理解均不负责任。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color w:val="0000FF"/>
              </w:rPr>
              <w:t>5.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color w:val="0000FF"/>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color w:val="0000FF"/>
              </w:rPr>
              <w:t>7.成交供应商未经采购人及有关部门同意，不得擅自变更本项目在竞争性磋商过程承诺中认定的采购范围、实施组织方案和项目负责人（响应文件中应明确项目经理的姓名及联系方法，以备检查）</w:t>
            </w:r>
          </w:p>
          <w:p>
            <w:pPr>
              <w:pStyle w:val="null3"/>
              <w:ind w:firstLine="480"/>
              <w:jc w:val="both"/>
            </w:pPr>
            <w:r>
              <w:rPr>
                <w:rFonts w:ascii="仿宋_GB2312" w:hAnsi="仿宋_GB2312" w:cs="仿宋_GB2312" w:eastAsia="仿宋_GB2312"/>
                <w:sz w:val="24"/>
                <w:color w:val="0000FF"/>
              </w:rPr>
              <w:t>8.成交供应商必须自行施工，不得转包、分包。</w:t>
            </w:r>
          </w:p>
          <w:p>
            <w:pPr>
              <w:pStyle w:val="null3"/>
              <w:ind w:firstLine="480"/>
              <w:jc w:val="both"/>
            </w:pPr>
            <w:r>
              <w:rPr>
                <w:rFonts w:ascii="仿宋_GB2312" w:hAnsi="仿宋_GB2312" w:cs="仿宋_GB2312" w:eastAsia="仿宋_GB2312"/>
                <w:sz w:val="24"/>
                <w:color w:val="0000FF"/>
              </w:rPr>
              <w:t>9.成交供应商在施工过程中不得影响学校的日常生活、工作秩序。</w:t>
            </w:r>
          </w:p>
          <w:p>
            <w:pPr>
              <w:pStyle w:val="null3"/>
              <w:ind w:firstLine="480"/>
              <w:jc w:val="both"/>
            </w:pPr>
            <w:r>
              <w:rPr>
                <w:rFonts w:ascii="仿宋_GB2312" w:hAnsi="仿宋_GB2312" w:cs="仿宋_GB2312" w:eastAsia="仿宋_GB2312"/>
                <w:sz w:val="24"/>
                <w:color w:val="0000FF"/>
              </w:rPr>
              <w:t>10.现场垃圾清运、治污减霾工作由成交供应商全权负责，供应商应负责做好项目的扬尘防治工作及垃圾清运工作。</w:t>
            </w:r>
          </w:p>
          <w:p>
            <w:pPr>
              <w:pStyle w:val="null3"/>
              <w:ind w:firstLine="482"/>
              <w:jc w:val="both"/>
            </w:pPr>
            <w:r>
              <w:rPr>
                <w:rFonts w:ascii="仿宋_GB2312" w:hAnsi="仿宋_GB2312" w:cs="仿宋_GB2312" w:eastAsia="仿宋_GB2312"/>
                <w:sz w:val="24"/>
                <w:b/>
                <w:color w:val="0000FF"/>
              </w:rPr>
              <w:t>三、工程量清单：详见附件。</w:t>
            </w:r>
          </w:p>
          <w:p>
            <w:pPr>
              <w:pStyle w:val="null3"/>
              <w:ind w:firstLine="482"/>
              <w:jc w:val="both"/>
            </w:pPr>
            <w:r>
              <w:rPr>
                <w:rFonts w:ascii="仿宋_GB2312" w:hAnsi="仿宋_GB2312" w:cs="仿宋_GB2312" w:eastAsia="仿宋_GB2312"/>
                <w:sz w:val="24"/>
                <w:b/>
                <w:color w:val="0000FF"/>
              </w:rPr>
              <w:t>四、图纸：</w:t>
            </w:r>
            <w:r>
              <w:rPr>
                <w:rFonts w:ascii="仿宋_GB2312" w:hAnsi="仿宋_GB2312" w:cs="仿宋_GB2312" w:eastAsia="仿宋_GB2312"/>
                <w:sz w:val="24"/>
                <w:b/>
                <w:color w:val="0000FF"/>
              </w:rPr>
              <w:t>无。</w:t>
            </w:r>
          </w:p>
          <w:p>
            <w:pPr>
              <w:pStyle w:val="null3"/>
              <w:ind w:firstLine="482"/>
              <w:jc w:val="both"/>
            </w:pPr>
            <w:r>
              <w:rPr>
                <w:rFonts w:ascii="仿宋_GB2312" w:hAnsi="仿宋_GB2312" w:cs="仿宋_GB2312" w:eastAsia="仿宋_GB2312"/>
                <w:sz w:val="24"/>
                <w:b/>
                <w:color w:val="0000FF"/>
              </w:rPr>
              <w:t>五、</w:t>
            </w:r>
            <w:r>
              <w:rPr>
                <w:rFonts w:ascii="仿宋_GB2312" w:hAnsi="仿宋_GB2312" w:cs="仿宋_GB2312" w:eastAsia="仿宋_GB2312"/>
                <w:sz w:val="24"/>
                <w:b/>
                <w:color w:val="0000FF"/>
              </w:rPr>
              <w:t>商务要求</w:t>
            </w:r>
          </w:p>
          <w:p>
            <w:pPr>
              <w:pStyle w:val="null3"/>
              <w:ind w:firstLine="482"/>
              <w:jc w:val="both"/>
            </w:pPr>
            <w:r>
              <w:rPr>
                <w:rFonts w:ascii="仿宋_GB2312" w:hAnsi="仿宋_GB2312" w:cs="仿宋_GB2312" w:eastAsia="仿宋_GB2312"/>
                <w:sz w:val="24"/>
                <w:b/>
                <w:color w:val="0000FF"/>
              </w:rPr>
              <w:t>（一）工期：</w:t>
            </w:r>
            <w:r>
              <w:rPr>
                <w:rFonts w:ascii="仿宋_GB2312" w:hAnsi="仿宋_GB2312" w:cs="仿宋_GB2312" w:eastAsia="仿宋_GB2312"/>
                <w:sz w:val="24"/>
                <w:color w:val="0000FF"/>
              </w:rPr>
              <w:t>自接到采购人开工通知之日起</w:t>
            </w:r>
            <w:r>
              <w:rPr>
                <w:rFonts w:ascii="仿宋_GB2312" w:hAnsi="仿宋_GB2312" w:cs="仿宋_GB2312" w:eastAsia="仿宋_GB2312"/>
                <w:sz w:val="24"/>
                <w:color w:val="0000FF"/>
              </w:rPr>
              <w:t>30日历天内。</w:t>
            </w:r>
          </w:p>
          <w:p>
            <w:pPr>
              <w:pStyle w:val="null3"/>
              <w:ind w:firstLine="482"/>
              <w:jc w:val="both"/>
            </w:pPr>
            <w:r>
              <w:rPr>
                <w:rFonts w:ascii="仿宋_GB2312" w:hAnsi="仿宋_GB2312" w:cs="仿宋_GB2312" w:eastAsia="仿宋_GB2312"/>
                <w:sz w:val="24"/>
                <w:b/>
                <w:color w:val="0000FF"/>
              </w:rPr>
              <w:t>（二）工程地点</w:t>
            </w:r>
            <w:r>
              <w:rPr>
                <w:rFonts w:ascii="仿宋_GB2312" w:hAnsi="仿宋_GB2312" w:cs="仿宋_GB2312" w:eastAsia="仿宋_GB2312"/>
                <w:sz w:val="24"/>
                <w:color w:val="0000FF"/>
              </w:rPr>
              <w:t>：西安邮电大学东区。</w:t>
            </w:r>
          </w:p>
          <w:p>
            <w:pPr>
              <w:pStyle w:val="null3"/>
              <w:ind w:firstLine="482"/>
              <w:jc w:val="both"/>
            </w:pPr>
            <w:r>
              <w:rPr>
                <w:rFonts w:ascii="仿宋_GB2312" w:hAnsi="仿宋_GB2312" w:cs="仿宋_GB2312" w:eastAsia="仿宋_GB2312"/>
                <w:sz w:val="24"/>
                <w:b/>
                <w:color w:val="0000FF"/>
              </w:rPr>
              <w:t>（三）质量要求</w:t>
            </w:r>
            <w:r>
              <w:rPr>
                <w:rFonts w:ascii="仿宋_GB2312" w:hAnsi="仿宋_GB2312" w:cs="仿宋_GB2312" w:eastAsia="仿宋_GB2312"/>
                <w:sz w:val="24"/>
                <w:color w:val="0000FF"/>
              </w:rPr>
              <w:t>：满足现行《建筑与市政工程施工质量控制通用规范》的要求，质量验收合格。</w:t>
            </w:r>
          </w:p>
          <w:p>
            <w:pPr>
              <w:pStyle w:val="null3"/>
              <w:ind w:firstLine="482"/>
              <w:jc w:val="both"/>
            </w:pPr>
            <w:r>
              <w:rPr>
                <w:rFonts w:ascii="仿宋_GB2312" w:hAnsi="仿宋_GB2312" w:cs="仿宋_GB2312" w:eastAsia="仿宋_GB2312"/>
                <w:sz w:val="24"/>
                <w:b/>
                <w:color w:val="0000FF"/>
              </w:rPr>
              <w:t>（四）付款方式：</w:t>
            </w:r>
          </w:p>
          <w:p>
            <w:pPr>
              <w:pStyle w:val="null3"/>
              <w:ind w:firstLine="480"/>
              <w:jc w:val="both"/>
            </w:pPr>
            <w:r>
              <w:rPr>
                <w:rFonts w:ascii="仿宋_GB2312" w:hAnsi="仿宋_GB2312" w:cs="仿宋_GB2312" w:eastAsia="仿宋_GB2312"/>
                <w:sz w:val="24"/>
                <w:color w:val="0000FF"/>
              </w:rPr>
              <w:t>付款方式</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1）⼯程完成后，成交供应商报采购⼈及监理进⾏初验，初验合格后，成交供应商向采购⼈申请正式验收，采购⼈收到申请后组织相关专业⼈员对项⽬进⾏验收，验收合格后</w:t>
            </w:r>
            <w:r>
              <w:rPr>
                <w:rFonts w:ascii="仿宋_GB2312" w:hAnsi="仿宋_GB2312" w:cs="仿宋_GB2312" w:eastAsia="仿宋_GB2312"/>
                <w:sz w:val="24"/>
                <w:color w:val="0000FF"/>
              </w:rPr>
              <w:t>采购人向成交供应商</w:t>
            </w:r>
            <w:r>
              <w:rPr>
                <w:rFonts w:ascii="仿宋_GB2312" w:hAnsi="仿宋_GB2312" w:cs="仿宋_GB2312" w:eastAsia="仿宋_GB2312"/>
                <w:sz w:val="24"/>
                <w:color w:val="0000FF"/>
              </w:rPr>
              <w:t>⽀付到合同⾦额</w:t>
            </w:r>
            <w:r>
              <w:rPr>
                <w:rFonts w:ascii="仿宋_GB2312" w:hAnsi="仿宋_GB2312" w:cs="仿宋_GB2312" w:eastAsia="仿宋_GB2312"/>
                <w:sz w:val="24"/>
                <w:color w:val="0000FF"/>
              </w:rPr>
              <w:t>50%的⼯程款。（2）成交供应商向采购⼈报送结算资料，经采购⼈审计结算且供应商确认结算⾦额后，采购人向成交供应商付款至结算审定⾦额的97%，待质保期满且⽆质量问题后付款⾄结算审定⾦额的100%。</w:t>
            </w:r>
          </w:p>
          <w:p>
            <w:pPr>
              <w:pStyle w:val="null3"/>
              <w:ind w:firstLine="482"/>
              <w:jc w:val="both"/>
            </w:pPr>
            <w:r>
              <w:rPr>
                <w:rFonts w:ascii="仿宋_GB2312" w:hAnsi="仿宋_GB2312" w:cs="仿宋_GB2312" w:eastAsia="仿宋_GB2312"/>
                <w:sz w:val="24"/>
                <w:b/>
                <w:color w:val="0000FF"/>
              </w:rPr>
              <w:t>（五）质量保证期及保修要求</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1）质量保证期：本项目竣工验收合格通过之日起5年。</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2）保修要求：属于保修范围和内容的项目，承包人应在接到维修通知后，1天内派人维修。发生紧急抢修事故（如严重渗漏等），承包人应在接到事故通知后2小时内到达事故现场并于4小时内完成应急维修。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满足现行《建筑与市政工程施工质量控制通用规范》的要求，质量验收合格。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按照竞争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竞争性磋商文件如对材料的材质、品牌等有明确要求的，不得变更相关要求，使用前应当由采购人认质确认后方可投入使用。工程施工完毕后需对施工场地进行保洁，保洁标准达到采购人要求。 4.本项目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等现行陕西省工程建设标准的规定项目编码、项目名称、计量单位和工程量计算规则进行编制的;供应商中标后，若出现竞争性磋商文件中工程量清单描述不符等问题时，此部分工程量清单项的综合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2973608682@qq.com（邮件命名：项目名称+项目编号）；供应商应在响应文件中附保函复印件。保函必须由具有开具投标保函资格的单位开具；若供应商违约，开具保函单位承担连带责任； 2.响应保证金的提交金额、时间不满足竞争性磋商文件要求的，投标无效； 3.本项目成交供应商须在领取中标（成交）通知书同一时间向采购代理机构提供响应文件（应与政府采购电子化交易平台上传的响应文件完全一致）正本1份、副本1份。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供应商资质要求1</w:t>
            </w:r>
          </w:p>
        </w:tc>
        <w:tc>
          <w:tcPr>
            <w:tcW w:type="dxa" w:w="3322"/>
          </w:tcPr>
          <w:p>
            <w:pPr>
              <w:pStyle w:val="null3"/>
            </w:pPr>
            <w:r>
              <w:rPr>
                <w:rFonts w:ascii="仿宋_GB2312" w:hAnsi="仿宋_GB2312" w:cs="仿宋_GB2312" w:eastAsia="仿宋_GB2312"/>
              </w:rPr>
              <w:t>供应商须具备建设行政主管部门颁发合法有效的防水防腐保温工程专业承包二级（含）以上资质，且在人员、设备、资金等方面具备相应施工能力；</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供应商资质要求2</w:t>
            </w:r>
          </w:p>
        </w:tc>
        <w:tc>
          <w:tcPr>
            <w:tcW w:type="dxa" w:w="3322"/>
          </w:tcPr>
          <w:p>
            <w:pPr>
              <w:pStyle w:val="null3"/>
            </w:pPr>
            <w:r>
              <w:rPr>
                <w:rFonts w:ascii="仿宋_GB2312" w:hAnsi="仿宋_GB2312" w:cs="仿宋_GB2312" w:eastAsia="仿宋_GB2312"/>
              </w:rPr>
              <w:t>供应商具备有效的安全生产许可证，且未被“全国工程质量安全监管信息平台公共服务门户”网站列为暂扣或吊销状态；</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拟派项目经理应具备建筑工程专业二级（含）以上注册建造师执业资格及合法有效的安全生产考核合格证（安全B证），在本单位注册且无在建工程；</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响应函是否按竞争性磋商文件要求签署、盖章的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已标价工程量清单扉页是否加盖有注册或登记在工程造价咨询企业的造价人员签字并盖执业印章(委托第三方造价咨询企业需提供相关证明材料);</w:t>
            </w:r>
          </w:p>
        </w:tc>
        <w:tc>
          <w:tcPr>
            <w:tcW w:type="dxa" w:w="3322"/>
          </w:tcPr>
          <w:p>
            <w:pPr>
              <w:pStyle w:val="null3"/>
            </w:pPr>
            <w:r>
              <w:rPr>
                <w:rFonts w:ascii="仿宋_GB2312" w:hAnsi="仿宋_GB2312" w:cs="仿宋_GB2312" w:eastAsia="仿宋_GB2312"/>
              </w:rPr>
              <w:t>已标价工程量清单扉页已加盖有注册或登记在工程造价咨询企业的造价人员签字并盖执业印章(委托第三方造价咨询企业需提供相关证明材料)；</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响应文件是否存在无效磋商的情形及未实质性响应竞争性磋商文件的情况</w:t>
            </w:r>
          </w:p>
        </w:tc>
        <w:tc>
          <w:tcPr>
            <w:tcW w:type="dxa" w:w="3322"/>
          </w:tcPr>
          <w:p>
            <w:pPr>
              <w:pStyle w:val="null3"/>
            </w:pPr>
            <w:r>
              <w:rPr>
                <w:rFonts w:ascii="仿宋_GB2312" w:hAnsi="仿宋_GB2312" w:cs="仿宋_GB2312" w:eastAsia="仿宋_GB2312"/>
              </w:rPr>
              <w:t>响应文件未存在法律法规或竞争性磋商文件明确规定的其他被视为“无效磋商”的情形及未实质性响应竞争性磋商文件的情况。</w:t>
            </w:r>
          </w:p>
        </w:tc>
        <w:tc>
          <w:tcPr>
            <w:tcW w:type="dxa" w:w="1661"/>
          </w:tcPr>
          <w:p>
            <w:pPr>
              <w:pStyle w:val="null3"/>
            </w:pPr>
            <w:r>
              <w:rPr>
                <w:rFonts w:ascii="仿宋_GB2312" w:hAnsi="仿宋_GB2312" w:cs="仿宋_GB2312" w:eastAsia="仿宋_GB2312"/>
              </w:rPr>
              <w:t>已标价工程量清单 中小企业声明函 企业业绩.docx 技术服务合同条款及其他商务要求应答表 资格审查资料..docx 施工组织设计.docx 响应文件封面 残疾人福利性单位声明函 法定代表人证明书及授权书.docx 报价函 拟派项目部人员构成.docx 标的清单 响应函 监狱企业的证明文件 拟派本项目经理的业绩.docx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不含开标当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供应商提供自2023年1月1日至本项目响应文件递交截止时间前已承接的类似业绩证明材料，每提供1项的得2分，最多得10分。未提供的不得分。 评审依据：类似业绩证明材料指维修改造工程的业绩证明材料，或其他工程施工中包含维修改造工程施工内容的业绩证明材料，提供施工合同证明材料复印件，时间以合同体现时间为准。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1.拟派项目经理具备本科（含）以上学历的得5分，大专学历的得3分，其他情况不得分。 评审依据：以供应商提供的加盖公章的拟派项目经理学历证书的扫描件或复印件为准，提供多个学历或学位证书的，以最高学历为准，未提供的不得分。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资格审查资料..docx</w:t>
            </w:r>
          </w:p>
        </w:tc>
      </w:tr>
      <w:tr>
        <w:tc>
          <w:tcPr>
            <w:tcW w:type="dxa" w:w="831"/>
            <w:vMerge/>
          </w:tcPr>
          <w:p/>
        </w:tc>
        <w:tc>
          <w:tcPr>
            <w:tcW w:type="dxa" w:w="1661"/>
          </w:tcPr>
          <w:p>
            <w:pPr>
              <w:pStyle w:val="null3"/>
            </w:pPr>
            <w:r>
              <w:rPr>
                <w:rFonts w:ascii="仿宋_GB2312" w:hAnsi="仿宋_GB2312" w:cs="仿宋_GB2312" w:eastAsia="仿宋_GB2312"/>
              </w:rPr>
              <w:t>拟派项目经理学职称</w:t>
            </w:r>
          </w:p>
        </w:tc>
        <w:tc>
          <w:tcPr>
            <w:tcW w:type="dxa" w:w="2492"/>
          </w:tcPr>
          <w:p>
            <w:pPr>
              <w:pStyle w:val="null3"/>
            </w:pPr>
            <w:r>
              <w:rPr>
                <w:rFonts w:ascii="仿宋_GB2312" w:hAnsi="仿宋_GB2312" w:cs="仿宋_GB2312" w:eastAsia="仿宋_GB2312"/>
              </w:rPr>
              <w:t>2.拟派项目经理具备中级（含）以上职称证书的得5分，初级职称的得3分，其他情况不得分。 评审依据：评审时以供应商提供的加盖供应商公章的拟派项目经理最高职称证书的扫描件或复印件为准，提供多个职称证明材料的，以最高职称材料为准，未提供的不得分。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资格审查资料..docx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3.供应商提供拟派项目经理自2023年1月1日以来至今已完成的包含维修改造工程内容的类似项目的业绩证明材料（在该项目中担任项目经理一职）提供1项的得5分，未提供的不得分。 评审依据：类似业绩证明材料指维修改造工程的业绩证明材料，或其他工程施工中包含维修改造工程施工内容的业绩证明材料，以合同及竣工验收资料为准。业绩时间以合同所体现的时间为准。缺少资料或未按照上述要求提供的，均按照0分计入。所提供合同或竣工验收资料复印件或扫描件中必须体现拟派项目经理在该项目中担任项目经理一职，否则不予赋分。企业业绩和拟派项目经理业绩可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拟派本项目经理的业绩.docx</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1.供应商提供的施工总体规划部署及施工方案需包含①项目施工总体思路；②施工实施阶段划分；③关键工序技术把控措施，共3项内容，每项满分3分，总分9分。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2.供应商提供的质量管控体系方案需包含①质量目标及管控措施；②全流程质量检验、整改机制；③质量通病防治措施，共3项内容，每项满分3分，总分9分。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3.供应商提供的进度管控与应急方案需包含①进度管控节点设置、动态调整；②工期延误风险预判及应对措施；③季节性施工适配措施，共3项内容，每项满分3分，总分9分。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4.供应商提供的安全文明施工方案需包含①安全生产管理制度、责任分工；②安全风险防控、应急处置方案；③文明施工、环保措施（扬尘、噪音管控等），共3项内容，每项满分3分，总分9分。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5.供应商提供的资源配置保障方案需包含①施工队伍、管理人员及经验；②施工机械设备、材料供应；③人力、设备调度方案，共3项内容，每项满分3分，总分9分。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详见附件：拟派本项目经理的业绩.docx</w:t>
      </w:r>
    </w:p>
    <w:p>
      <w:pPr>
        <w:pStyle w:val="null3"/>
        <w:ind w:firstLine="960"/>
      </w:pPr>
      <w:r>
        <w:rPr>
          <w:rFonts w:ascii="仿宋_GB2312" w:hAnsi="仿宋_GB2312" w:cs="仿宋_GB2312" w:eastAsia="仿宋_GB2312"/>
        </w:rPr>
        <w:t>详见附件：拟派项目部人员构成.docx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详见附件：资格审查资料..docx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