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版本号：ZCTH2026-05-053.1B120260618001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法庭业务用房租赁服务(二次)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ZCTH2026-05-053.1B1</w:t>
      </w:r>
      <w:r>
        <w:br/>
      </w:r>
      <w:r>
        <w:br/>
      </w:r>
      <w:r>
        <w:br/>
      </w:r>
    </w:p>
    <w:p>
      <w:pPr>
        <w:pStyle w:val="null3"/>
        <w:jc w:val="center"/>
        <w:outlineLvl w:val="5"/>
      </w:pPr>
      <w:r>
        <w:rPr>
          <w:rFonts w:ascii="仿宋_GB2312" w:hAnsi="仿宋_GB2312" w:cs="仿宋_GB2312" w:eastAsia="仿宋_GB2312"/>
          <w:sz w:val="15"/>
          <w:b/>
        </w:rPr>
        <w:t>西安市雁塔区人民法院[156]</w:t>
      </w:r>
    </w:p>
    <w:p>
      <w:pPr>
        <w:pStyle w:val="null3"/>
        <w:jc w:val="center"/>
        <w:outlineLvl w:val="5"/>
      </w:pPr>
      <w:r>
        <w:rPr>
          <w:rFonts w:ascii="仿宋_GB2312" w:hAnsi="仿宋_GB2312" w:cs="仿宋_GB2312" w:eastAsia="仿宋_GB2312"/>
          <w:sz w:val="15"/>
          <w:b/>
        </w:rPr>
        <w:t>陕西中诚天和项目管理有限公司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西安市雁塔区人民法院[156]</w:t>
      </w:r>
      <w:r>
        <w:rPr>
          <w:rFonts w:ascii="仿宋_GB2312" w:hAnsi="仿宋_GB2312" w:cs="仿宋_GB2312" w:eastAsia="仿宋_GB2312"/>
        </w:rPr>
        <w:t>委托，拟对</w:t>
      </w:r>
      <w:r>
        <w:rPr>
          <w:rFonts w:ascii="仿宋_GB2312" w:hAnsi="仿宋_GB2312" w:cs="仿宋_GB2312" w:eastAsia="仿宋_GB2312"/>
        </w:rPr>
        <w:t>法庭业务用房租赁服务(二次)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ZCTH2026-05-053.1B1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法庭业务用房租赁服务(二次)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法庭业务用房租赁服务(二次)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采购包1（法庭业务用房租赁服务）：属于专门面向中小企业采购。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 自然人提供身份证明）</w:t>
      </w:r>
    </w:p>
    <w:p>
      <w:pPr>
        <w:pStyle w:val="null3"/>
      </w:pPr>
      <w:r>
        <w:rPr>
          <w:rFonts w:ascii="仿宋_GB2312" w:hAnsi="仿宋_GB2312" w:cs="仿宋_GB2312" w:eastAsia="仿宋_GB2312"/>
        </w:rPr>
        <w:t>2、法定代表人授权委托书：法定代表人参加谈判的，须出示法定代表人证明书及身份证；法定代表人授权他人参加谈判的，须提供法定代表人授权委托书、被授权人身份证</w:t>
      </w:r>
    </w:p>
    <w:p>
      <w:pPr>
        <w:pStyle w:val="null3"/>
      </w:pPr>
      <w:r>
        <w:rPr>
          <w:rFonts w:ascii="仿宋_GB2312" w:hAnsi="仿宋_GB2312" w:cs="仿宋_GB2312" w:eastAsia="仿宋_GB2312"/>
        </w:rPr>
        <w:t>3、财务状况报告：提供2024年度或2025年度的经会计师事务所或审计机构审计的财务审计报告或在提交投标文件截止时间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4、税收缴纳证明：提供提交投标文件截止时间前一年内至少一个月的纳税证明或完税证明明（任意税种），依法免税的供应商应提供相关文件证明</w:t>
      </w:r>
    </w:p>
    <w:p>
      <w:pPr>
        <w:pStyle w:val="null3"/>
      </w:pPr>
      <w:r>
        <w:rPr>
          <w:rFonts w:ascii="仿宋_GB2312" w:hAnsi="仿宋_GB2312" w:cs="仿宋_GB2312" w:eastAsia="仿宋_GB2312"/>
        </w:rPr>
        <w:t>5、社会保障资金缴纳证明：提供提交投标文件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6、书面承诺：提供具有履行本合同所必需的设备和专业技术能力的声明、参加政府采购活动前3年内在经营活动中没有重大违法记录的书面承诺</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西安市雁塔区人民法院[156]</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西安市雁塔区人民法院[156]经办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85431623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杨玉婷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采购包1：2,640,000.00元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采购包1：2,640,000.00元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 [2003]857号通 知规定，由成交供应商⽀付代理服务费。2、⽀付⽅式：成交供应商应在领取通知书的同时，⽀付本项⽬代理服务费。收款账⼾如下：收款单位：陕西中诚天和项⽬管理有限公司； 开⼾银⾏：中国建设银⾏股份有限公司西安⾼新⾃贸区⽀⾏； 银⾏账号：61050110066700001164。注：代理服务费不⾜陆仟元按陆仟元整收取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西安市雁塔区人民法院[156]</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西安市雁塔区人民法院[156]</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 ⼿册等技术资料，并承诺提供⽆限期⽀持，采购⼈享有使⽤权（含采购⼈委托第三⽅在该项⽬后续开发的使⽤权）。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按照采购文件及合同约定内容等进行验收 。</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地址：陕西省西安市⾼新区锦业⼀路52号宝德云⾕国际-B座14层1406-6室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法庭业务用房租赁服务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2,640,000.00</w:t>
      </w:r>
    </w:p>
    <w:p>
      <w:pPr>
        <w:pStyle w:val="null3"/>
      </w:pPr>
      <w:r>
        <w:rPr>
          <w:rFonts w:ascii="仿宋_GB2312" w:hAnsi="仿宋_GB2312" w:cs="仿宋_GB2312" w:eastAsia="仿宋_GB2312"/>
        </w:rPr>
        <w:t>采购包最高限价（元）: 2,640,000.00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2640000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2,640,000.00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标的名称：2640000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60"/>
              <w:ind w:left="105"/>
            </w:pPr>
            <w:r>
              <w:rPr>
                <w:rFonts w:ascii="仿宋_GB2312" w:hAnsi="仿宋_GB2312" w:cs="仿宋_GB2312" w:eastAsia="仿宋_GB2312"/>
                <w:sz w:val="21"/>
                <w:b/>
                <w:color w:val="000000"/>
              </w:rPr>
              <w:t>一．项目概况</w:t>
            </w:r>
          </w:p>
          <w:p>
            <w:pPr>
              <w:pStyle w:val="null3"/>
              <w:spacing w:before="135"/>
              <w:ind w:left="120"/>
            </w:pPr>
            <w:r>
              <w:rPr>
                <w:rFonts w:ascii="仿宋_GB2312" w:hAnsi="仿宋_GB2312" w:cs="仿宋_GB2312" w:eastAsia="仿宋_GB2312"/>
                <w:sz w:val="21"/>
                <w:color w:val="000000"/>
              </w:rPr>
              <w:t>1</w:t>
            </w:r>
            <w:r>
              <w:rPr>
                <w:rFonts w:ascii="仿宋_GB2312" w:hAnsi="仿宋_GB2312" w:cs="仿宋_GB2312" w:eastAsia="仿宋_GB2312"/>
                <w:sz w:val="21"/>
                <w:color w:val="000000"/>
              </w:rPr>
              <w:t>、项目名称：法庭业务用房租赁服务</w:t>
            </w:r>
          </w:p>
          <w:p>
            <w:pPr>
              <w:pStyle w:val="null3"/>
              <w:spacing w:before="120"/>
              <w:ind w:left="105"/>
            </w:pPr>
            <w:r>
              <w:rPr>
                <w:rFonts w:ascii="仿宋_GB2312" w:hAnsi="仿宋_GB2312" w:cs="仿宋_GB2312" w:eastAsia="仿宋_GB2312"/>
                <w:sz w:val="21"/>
                <w:color w:val="000000"/>
              </w:rPr>
              <w:t>2</w:t>
            </w:r>
            <w:r>
              <w:rPr>
                <w:rFonts w:ascii="仿宋_GB2312" w:hAnsi="仿宋_GB2312" w:cs="仿宋_GB2312" w:eastAsia="仿宋_GB2312"/>
                <w:sz w:val="21"/>
                <w:color w:val="000000"/>
              </w:rPr>
              <w:t>、服务期：</w:t>
            </w:r>
            <w:r>
              <w:rPr>
                <w:rFonts w:ascii="仿宋_GB2312" w:hAnsi="仿宋_GB2312" w:cs="仿宋_GB2312" w:eastAsia="仿宋_GB2312"/>
                <w:sz w:val="21"/>
                <w:color w:val="000000"/>
              </w:rPr>
              <w:t>合同签订之日起一年</w:t>
            </w:r>
          </w:p>
          <w:p>
            <w:pPr>
              <w:pStyle w:val="null3"/>
              <w:spacing w:before="120"/>
              <w:ind w:left="105" w:right="4635" w:firstLine="8"/>
            </w:pPr>
            <w:r>
              <w:rPr>
                <w:rFonts w:ascii="仿宋_GB2312" w:hAnsi="仿宋_GB2312" w:cs="仿宋_GB2312" w:eastAsia="仿宋_GB2312"/>
                <w:sz w:val="21"/>
                <w:color w:val="000000"/>
              </w:rPr>
              <w:t>3</w:t>
            </w:r>
            <w:r>
              <w:rPr>
                <w:rFonts w:ascii="仿宋_GB2312" w:hAnsi="仿宋_GB2312" w:cs="仿宋_GB2312" w:eastAsia="仿宋_GB2312"/>
                <w:sz w:val="21"/>
                <w:color w:val="000000"/>
              </w:rPr>
              <w:t>、服务地点：西安市雁塔区人民法院指定地点</w:t>
            </w:r>
          </w:p>
          <w:p>
            <w:pPr>
              <w:pStyle w:val="null3"/>
              <w:spacing w:before="120"/>
              <w:ind w:left="105" w:right="4635" w:firstLine="8"/>
            </w:pPr>
            <w:r>
              <w:rPr>
                <w:rFonts w:ascii="仿宋_GB2312" w:hAnsi="仿宋_GB2312" w:cs="仿宋_GB2312" w:eastAsia="仿宋_GB2312"/>
                <w:sz w:val="21"/>
                <w:b/>
                <w:color w:val="000000"/>
              </w:rPr>
              <w:t>二．技术参数</w:t>
            </w:r>
          </w:p>
          <w:p>
            <w:pPr>
              <w:pStyle w:val="null3"/>
              <w:spacing w:before="15"/>
              <w:ind w:left="105" w:right="90" w:firstLine="382"/>
            </w:pPr>
            <w:r>
              <w:rPr>
                <w:rFonts w:ascii="仿宋_GB2312" w:hAnsi="仿宋_GB2312" w:cs="仿宋_GB2312" w:eastAsia="仿宋_GB2312"/>
                <w:sz w:val="21"/>
                <w:color w:val="000000"/>
              </w:rPr>
              <w:t>位于曲江新区翔悦路</w:t>
            </w:r>
            <w:r>
              <w:rPr>
                <w:rFonts w:ascii="仿宋_GB2312" w:hAnsi="仿宋_GB2312" w:cs="仿宋_GB2312" w:eastAsia="仿宋_GB2312"/>
                <w:sz w:val="21"/>
                <w:color w:val="000000"/>
              </w:rPr>
              <w:t>1688</w:t>
            </w:r>
            <w:r>
              <w:rPr>
                <w:rFonts w:ascii="仿宋_GB2312" w:hAnsi="仿宋_GB2312" w:cs="仿宋_GB2312" w:eastAsia="仿宋_GB2312"/>
                <w:sz w:val="21"/>
                <w:color w:val="000000"/>
              </w:rPr>
              <w:t>号，用地性质为商</w:t>
            </w:r>
            <w:r>
              <w:rPr>
                <w:rFonts w:ascii="仿宋_GB2312" w:hAnsi="仿宋_GB2312" w:cs="仿宋_GB2312" w:eastAsia="仿宋_GB2312"/>
                <w:sz w:val="21"/>
                <w:color w:val="000000"/>
              </w:rPr>
              <w:t>业金融用地，用地年限</w:t>
            </w:r>
            <w:r>
              <w:rPr>
                <w:rFonts w:ascii="仿宋_GB2312" w:hAnsi="仿宋_GB2312" w:cs="仿宋_GB2312" w:eastAsia="仿宋_GB2312"/>
                <w:sz w:val="21"/>
                <w:color w:val="000000"/>
              </w:rPr>
              <w:t>40</w:t>
            </w:r>
            <w:r>
              <w:rPr>
                <w:rFonts w:ascii="仿宋_GB2312" w:hAnsi="仿宋_GB2312" w:cs="仿宋_GB2312" w:eastAsia="仿宋_GB2312"/>
                <w:sz w:val="21"/>
                <w:color w:val="000000"/>
              </w:rPr>
              <w:t>年</w:t>
            </w:r>
            <w:r>
              <w:rPr>
                <w:rFonts w:ascii="仿宋_GB2312" w:hAnsi="仿宋_GB2312" w:cs="仿宋_GB2312" w:eastAsia="仿宋_GB2312"/>
                <w:sz w:val="21"/>
                <w:color w:val="000000"/>
              </w:rPr>
              <w:t>2</w:t>
            </w:r>
            <w:r>
              <w:rPr>
                <w:rFonts w:ascii="仿宋_GB2312" w:hAnsi="仿宋_GB2312" w:cs="仿宋_GB2312" w:eastAsia="仿宋_GB2312"/>
                <w:sz w:val="21"/>
                <w:color w:val="000000"/>
              </w:rPr>
              <w:t>号楼于</w:t>
            </w:r>
            <w:r>
              <w:rPr>
                <w:rFonts w:ascii="仿宋_GB2312" w:hAnsi="仿宋_GB2312" w:cs="仿宋_GB2312" w:eastAsia="仿宋_GB2312"/>
                <w:sz w:val="21"/>
              </w:rPr>
              <w:t xml:space="preserve"> </w:t>
            </w:r>
            <w:r>
              <w:rPr>
                <w:rFonts w:ascii="仿宋_GB2312" w:hAnsi="仿宋_GB2312" w:cs="仿宋_GB2312" w:eastAsia="仿宋_GB2312"/>
                <w:sz w:val="21"/>
                <w:color w:val="000000"/>
              </w:rPr>
              <w:t>2021</w:t>
            </w:r>
            <w:r>
              <w:rPr>
                <w:rFonts w:ascii="仿宋_GB2312" w:hAnsi="仿宋_GB2312" w:cs="仿宋_GB2312" w:eastAsia="仿宋_GB2312"/>
                <w:sz w:val="21"/>
                <w:color w:val="000000"/>
              </w:rPr>
              <w:t>年</w:t>
            </w:r>
            <w:r>
              <w:rPr>
                <w:rFonts w:ascii="仿宋_GB2312" w:hAnsi="仿宋_GB2312" w:cs="仿宋_GB2312" w:eastAsia="仿宋_GB2312"/>
                <w:sz w:val="21"/>
                <w:color w:val="000000"/>
              </w:rPr>
              <w:t>7</w:t>
            </w:r>
            <w:r>
              <w:rPr>
                <w:rFonts w:ascii="仿宋_GB2312" w:hAnsi="仿宋_GB2312" w:cs="仿宋_GB2312" w:eastAsia="仿宋_GB2312"/>
                <w:sz w:val="21"/>
                <w:color w:val="000000"/>
              </w:rPr>
              <w:t>月建</w:t>
            </w:r>
            <w:r>
              <w:rPr>
                <w:rFonts w:ascii="仿宋_GB2312" w:hAnsi="仿宋_GB2312" w:cs="仿宋_GB2312" w:eastAsia="仿宋_GB2312"/>
                <w:sz w:val="21"/>
                <w:color w:val="000000"/>
              </w:rPr>
              <w:t>成，五证齐全，总建筑面积</w:t>
            </w:r>
            <w:r>
              <w:rPr>
                <w:rFonts w:ascii="仿宋_GB2312" w:hAnsi="仿宋_GB2312" w:cs="仿宋_GB2312" w:eastAsia="仿宋_GB2312"/>
                <w:sz w:val="21"/>
                <w:color w:val="000000"/>
              </w:rPr>
              <w:t>4894.73</w:t>
            </w:r>
            <w:r>
              <w:rPr>
                <w:rFonts w:ascii="仿宋_GB2312" w:hAnsi="仿宋_GB2312" w:cs="仿宋_GB2312" w:eastAsia="仿宋_GB2312"/>
                <w:sz w:val="21"/>
                <w:color w:val="000000"/>
              </w:rPr>
              <w:t>平方米。作为我院业务用房使用。</w:t>
            </w:r>
          </w:p>
          <w:p>
            <w:pPr>
              <w:pStyle w:val="null3"/>
            </w:pPr>
            <w:r>
              <w:rPr>
                <w:rFonts w:ascii="仿宋_GB2312" w:hAnsi="仿宋_GB2312" w:cs="仿宋_GB2312" w:eastAsia="仿宋_GB2312"/>
                <w:sz w:val="21"/>
                <w:color w:val="000000"/>
              </w:rPr>
              <w:t>办公用房须严格执行《党政机关办公用房建设标准》、《陕西省党政</w:t>
            </w:r>
            <w:r>
              <w:rPr>
                <w:rFonts w:ascii="仿宋_GB2312" w:hAnsi="仿宋_GB2312" w:cs="仿宋_GB2312" w:eastAsia="仿宋_GB2312"/>
                <w:sz w:val="21"/>
                <w:color w:val="000000"/>
              </w:rPr>
              <w:t>机关办公用房管理办法》的</w:t>
            </w:r>
            <w:r>
              <w:rPr>
                <w:rFonts w:ascii="仿宋_GB2312" w:hAnsi="仿宋_GB2312" w:cs="仿宋_GB2312" w:eastAsia="仿宋_GB2312"/>
                <w:sz w:val="21"/>
                <w:color w:val="000000"/>
              </w:rPr>
              <w:t>相关规定。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详⻅技术参数与性能指标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西安市雁塔区人民法院指定地点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预付款，甲方自收到乙方普通服务业发票之日起，达到付款条件起7个工作日内，支付合同总金额的100.0%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按照采购文件及合同约定内容甲方自行组织验收。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据《中华⼈⺠共和国⺠法典》、《中华⼈⺠共和国政府采购法》的相关条款和合同约定，成交供应商未全⾯履⾏合同义务或者发⽣违约，采购⼈会同采购代理机构有权终⽌合同，依法向成交供应商进⾏经济索赔，并报请政府采购监督管理机关进⾏相应的⾏政处罚。采购⼈违约的，应当赔偿给成交供应商造成的经济损失。合同执⾏中发⽣争议的，当事⼈双⽅应协商解决，协商达不成⼀致时，可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 自然人提供身份证明）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法定代表人参加谈判的，须出示法定代表人证明书及身份证；法定代表人授权他人参加谈判的，须提供法定代表人授权委托书、被授权人身份证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会计师事务所或审计机构审计的财务审计报告或在提交投标文件截止时间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提供提交投标文件截止时间前一年内至少一个月的纳税证明或完税证明明（任意税种），依法免税的供应商应提供相关文件证明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提供具有履行本合同所必需的设备和专业技术能力的声明、参加政府采购活动前3年内在经营活动中没有重大违法记录的书面承诺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 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商务应答表 服务方案 服务内容及服务要求应答表 其他证明材料.docx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服务方案 其他证明材料.docx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