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版本号：ZL-ZBH-2026-005.1B120260715001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周至县2026年农房抗震改造设计鉴定项目(二次)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ZL-ZBH-2026-005.1B1</w:t>
      </w:r>
      <w:r>
        <w:br/>
      </w:r>
      <w:r>
        <w:br/>
      </w:r>
      <w:r>
        <w:br/>
      </w:r>
    </w:p>
    <w:p>
      <w:pPr>
        <w:pStyle w:val="null3"/>
        <w:jc w:val="center"/>
        <w:outlineLvl w:val="2"/>
      </w:pPr>
      <w:r>
        <w:rPr>
          <w:rFonts w:ascii="仿宋_GB2312" w:hAnsi="仿宋_GB2312" w:cs="仿宋_GB2312" w:eastAsia="仿宋_GB2312"/>
          <w:sz w:val="28"/>
          <w:b/>
        </w:rPr>
        <w:t>周至县住房和城乡建设局</w:t>
      </w:r>
    </w:p>
    <w:p>
      <w:pPr>
        <w:pStyle w:val="null3"/>
        <w:jc w:val="center"/>
        <w:outlineLvl w:val="2"/>
      </w:pPr>
      <w:r>
        <w:rPr>
          <w:rFonts w:ascii="仿宋_GB2312" w:hAnsi="仿宋_GB2312" w:cs="仿宋_GB2312" w:eastAsia="仿宋_GB2312"/>
          <w:sz w:val="28"/>
          <w:b/>
        </w:rPr>
        <w:t>卓朗项目管理有限公司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卓朗项目管理有限公司</w:t>
      </w:r>
      <w:r>
        <w:rPr>
          <w:rFonts w:ascii="仿宋_GB2312" w:hAnsi="仿宋_GB2312" w:cs="仿宋_GB2312" w:eastAsia="仿宋_GB2312"/>
        </w:rPr>
        <w:t>（以下简称“代理机构”）受</w:t>
      </w:r>
      <w:r>
        <w:rPr>
          <w:rFonts w:ascii="仿宋_GB2312" w:hAnsi="仿宋_GB2312" w:cs="仿宋_GB2312" w:eastAsia="仿宋_GB2312"/>
        </w:rPr>
        <w:t>周至县住房和城乡建设局</w:t>
      </w:r>
      <w:r>
        <w:rPr>
          <w:rFonts w:ascii="仿宋_GB2312" w:hAnsi="仿宋_GB2312" w:cs="仿宋_GB2312" w:eastAsia="仿宋_GB2312"/>
        </w:rPr>
        <w:t>委托，拟对</w:t>
      </w:r>
      <w:r>
        <w:rPr>
          <w:rFonts w:ascii="仿宋_GB2312" w:hAnsi="仿宋_GB2312" w:cs="仿宋_GB2312" w:eastAsia="仿宋_GB2312"/>
        </w:rPr>
        <w:t>周至县2026年农房抗震改造设计鉴定项目(二次)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ZL-ZBH-2026-005.1B1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周至县2026年农房抗震改造设计鉴定项目(二次)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西安市财政局关于下达2026年农村危房改造市级补助资金的通知》2026年农房抗震改造工作要求，对周至县200户低收入人群农房进行抗震安全性调查，包括房屋建造年代、建筑材料，结构类型、主体结构损伤变形及房屋使用维护情况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采购包1（周至县2026年农房抗震改造设计鉴定项目）：属于专门面向中小企业采购。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1、投标人资质要求：投标人具备建设行政主管部门颁发的工程设计综合甲级资质或建筑行业（建筑工程）乙级及以上资质；</w:t>
      </w:r>
    </w:p>
    <w:p>
      <w:pPr>
        <w:pStyle w:val="null3"/>
      </w:pPr>
      <w:r>
        <w:rPr>
          <w:rFonts w:ascii="仿宋_GB2312" w:hAnsi="仿宋_GB2312" w:cs="仿宋_GB2312" w:eastAsia="仿宋_GB2312"/>
        </w:rPr>
        <w:t>2、投标人拟派项目经理：拟派项目经理具备二级注册结构工程师资格及以上或二级注册建筑师及以上或建筑行业相关专业高级工程帅职称(提供项目经理的社保缴纳证明）；</w:t>
      </w:r>
    </w:p>
    <w:p>
      <w:pPr>
        <w:pStyle w:val="null3"/>
      </w:pPr>
      <w:r>
        <w:rPr>
          <w:rFonts w:ascii="仿宋_GB2312" w:hAnsi="仿宋_GB2312" w:cs="仿宋_GB2312" w:eastAsia="仿宋_GB2312"/>
        </w:rPr>
        <w:t>3、投标人信用记录：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查询结果为准）；</w:t>
      </w:r>
    </w:p>
    <w:p>
      <w:pPr>
        <w:pStyle w:val="null3"/>
      </w:pPr>
      <w:r>
        <w:rPr>
          <w:rFonts w:ascii="仿宋_GB2312" w:hAnsi="仿宋_GB2312" w:cs="仿宋_GB2312" w:eastAsia="仿宋_GB2312"/>
        </w:rPr>
        <w:t>4、授权委托书：法定代表人授权委托书（附法定代表人、被授权人身份证复印件）；法定代表人直接参加投标，须提供法定代表人身份证明及身份证复印件；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周至县二曲镇北泉巷3号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13609119666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卓朗项目管理有限公司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陕西省西安市碑林区长安北路草场坡荣城3号楼902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谢雷华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18700421152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代理服务费收费标准：中标单位在领取《中标通知书》之前，向招标代理机构一次付清代理服务费。 招标代理服务费的金额依据《招标代理服务收费管理暂行办法》 计价格[2002]1980号文、《国家发展改革委关于降低部分建设项目收费标准规范收费行为等有关问题的通知》 发改价格[2011]534 号文，以中标价为基数,按下浮百分之20计取代理服务费。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周至县住房和城乡建设局</w:t>
      </w:r>
      <w:r>
        <w:rPr>
          <w:rFonts w:ascii="仿宋_GB2312" w:hAnsi="仿宋_GB2312" w:cs="仿宋_GB2312" w:eastAsia="仿宋_GB2312"/>
        </w:rPr>
        <w:t>和</w:t>
      </w:r>
      <w:r>
        <w:rPr>
          <w:rFonts w:ascii="仿宋_GB2312" w:hAnsi="仿宋_GB2312" w:cs="仿宋_GB2312" w:eastAsia="仿宋_GB2312"/>
        </w:rPr>
        <w:t>卓朗项目管理有限公司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周至县住房和城乡建设局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卓朗项目管理有限公司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周至县住房和城乡建设局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卓朗项目管理有限公司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按照采购合同约定的技术、服务、标准对每一项技术、服务、标准的履约情况进行验收，并出具验收书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卓朗项目管理有限公司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卓朗项目管理有限公司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卓朗项目管理有限公司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联系人：谢雷华</w:t>
      </w:r>
    </w:p>
    <w:p>
      <w:pPr>
        <w:pStyle w:val="null3"/>
      </w:pPr>
      <w:r>
        <w:rPr>
          <w:rFonts w:ascii="仿宋_GB2312" w:hAnsi="仿宋_GB2312" w:cs="仿宋_GB2312" w:eastAsia="仿宋_GB2312"/>
        </w:rPr>
        <w:t>联系电话：18700421152</w:t>
      </w:r>
    </w:p>
    <w:p>
      <w:pPr>
        <w:pStyle w:val="null3"/>
      </w:pPr>
      <w:r>
        <w:rPr>
          <w:rFonts w:ascii="仿宋_GB2312" w:hAnsi="仿宋_GB2312" w:cs="仿宋_GB2312" w:eastAsia="仿宋_GB2312"/>
        </w:rPr>
        <w:t>地址：陕西省西安市碑林区长安北路草场坡荣城3号楼902</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财政局关于下达2026年农村危房改造市级补助资金的通知》2026年农房抗震改造工作要求，对周至县200户低收入人群农房进行抗震安全性调查，包括房屋建造年代、建筑材料，结构类型、主体结构损伤变形及房屋使用维护情况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周至县2026年农房抗震改造设计鉴定项目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标的名称：周至县2026年农房抗震改造设计鉴定项目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根据《西安市财政局关于下达</w:t>
            </w:r>
            <w:r>
              <w:rPr>
                <w:rFonts w:ascii="仿宋_GB2312" w:hAnsi="仿宋_GB2312" w:cs="仿宋_GB2312" w:eastAsia="仿宋_GB2312"/>
                <w:sz w:val="24"/>
              </w:rPr>
              <w:t>2026年农村危房改造市级补助资金的通知》2026年农房抗震改造工作要求，对周至县200户低收入人群农房进行抗震安全性调查，包括房屋建造年代、建筑材料，结构类型、主体结构损伤变形及房屋使用维护情况等。</w:t>
            </w:r>
          </w:p>
          <w:p>
            <w:pPr>
              <w:pStyle w:val="null3"/>
              <w:spacing w:before="315"/>
              <w:ind w:left="420"/>
              <w:jc w:val="both"/>
            </w:pPr>
            <w:r>
              <w:rPr>
                <w:rFonts w:ascii="仿宋_GB2312" w:hAnsi="仿宋_GB2312" w:cs="仿宋_GB2312" w:eastAsia="仿宋_GB2312"/>
                <w:sz w:val="24"/>
                <w:b/>
              </w:rPr>
              <w:t>二、</w:t>
            </w:r>
            <w:r>
              <w:rPr>
                <w:rFonts w:ascii="仿宋_GB2312" w:hAnsi="仿宋_GB2312" w:cs="仿宋_GB2312" w:eastAsia="仿宋_GB2312"/>
                <w:sz w:val="24"/>
                <w:b/>
              </w:rPr>
              <w:t>服务</w:t>
            </w:r>
            <w:r>
              <w:rPr>
                <w:rFonts w:ascii="仿宋_GB2312" w:hAnsi="仿宋_GB2312" w:cs="仿宋_GB2312" w:eastAsia="仿宋_GB2312"/>
                <w:sz w:val="24"/>
                <w:b/>
              </w:rPr>
              <w:t>内容和地点、</w:t>
            </w:r>
            <w:r>
              <w:rPr>
                <w:rFonts w:ascii="仿宋_GB2312" w:hAnsi="仿宋_GB2312" w:cs="仿宋_GB2312" w:eastAsia="仿宋_GB2312"/>
                <w:sz w:val="24"/>
                <w:b/>
              </w:rPr>
              <w:t>服务</w:t>
            </w:r>
            <w:r>
              <w:rPr>
                <w:rFonts w:ascii="仿宋_GB2312" w:hAnsi="仿宋_GB2312" w:cs="仿宋_GB2312" w:eastAsia="仿宋_GB2312"/>
                <w:sz w:val="24"/>
                <w:b/>
              </w:rPr>
              <w:t>期</w:t>
            </w:r>
          </w:p>
          <w:p>
            <w:pPr>
              <w:pStyle w:val="null3"/>
              <w:ind w:firstLine="480"/>
              <w:jc w:val="both"/>
            </w:pPr>
            <w:r>
              <w:rPr>
                <w:rFonts w:ascii="仿宋_GB2312" w:hAnsi="仿宋_GB2312" w:cs="仿宋_GB2312" w:eastAsia="仿宋_GB2312"/>
                <w:sz w:val="24"/>
              </w:rPr>
              <w:t>（一）主要建设内容：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结合现场调研情况，对200户抗震改造农房，逐门入户进行抗震鉴定，提交抗震鉴定表；对于抗震不达标的农房，按“一户一策”提交加固改造设计方案；在农房抗震改造施工过程中，提供现场技术指导等服务，配合采购人进行加固改造技术交底和现场技术培训；施工结束后，对每户抗震改造农房进行技术验收，并出具验收合格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结合现场调研情况，对200户既有农房，按照“功能适用、结构安全、风貌协调、节能环保”及“一户一设计”的原则进行农房改造设计；在改造实施过程中，提供现场技术指导，配合开展全县农村工匠技术培训与现场资料整理，汇编《周至县农房抗震改造设计图册》；施工结束后，对每户农房抗震改造进行技术验收，并出具验收合格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3）项目结束后，设计单位提供汇编成册的一户一策设计方案，农房抗震改造建设宣传视频以及宣传图集。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成果文件：</w:t>
            </w:r>
            <w:r>
              <w:rPr>
                <w:rFonts w:ascii="仿宋_GB2312" w:hAnsi="仿宋_GB2312" w:cs="仿宋_GB2312" w:eastAsia="仿宋_GB2312"/>
                <w:sz w:val="24"/>
              </w:rPr>
              <w:t>纸质版</w:t>
            </w:r>
            <w:r>
              <w:rPr>
                <w:rFonts w:ascii="仿宋_GB2312" w:hAnsi="仿宋_GB2312" w:cs="仿宋_GB2312" w:eastAsia="仿宋_GB2312"/>
                <w:sz w:val="24"/>
              </w:rPr>
              <w:t>6份/全套，电子版1份。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工程地点：</w:t>
            </w:r>
            <w:r>
              <w:rPr>
                <w:rFonts w:ascii="仿宋_GB2312" w:hAnsi="仿宋_GB2312" w:cs="仿宋_GB2312" w:eastAsia="仿宋_GB2312"/>
                <w:sz w:val="24"/>
              </w:rPr>
              <w:t>甲方指定地点。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）工期：</w:t>
            </w:r>
            <w:r>
              <w:rPr>
                <w:rFonts w:ascii="仿宋_GB2312" w:hAnsi="仿宋_GB2312" w:cs="仿宋_GB2312" w:eastAsia="仿宋_GB2312"/>
                <w:sz w:val="24"/>
              </w:rPr>
              <w:t>自</w:t>
            </w:r>
            <w:r>
              <w:rPr>
                <w:rFonts w:ascii="仿宋_GB2312" w:hAnsi="仿宋_GB2312" w:cs="仿宋_GB2312" w:eastAsia="仿宋_GB2312"/>
                <w:sz w:val="24"/>
              </w:rPr>
              <w:t>合同签订</w:t>
            </w:r>
            <w:r>
              <w:rPr>
                <w:rFonts w:ascii="仿宋_GB2312" w:hAnsi="仿宋_GB2312" w:cs="仿宋_GB2312" w:eastAsia="仿宋_GB2312"/>
                <w:sz w:val="24"/>
              </w:rPr>
              <w:t>之日起</w:t>
            </w:r>
            <w:r>
              <w:rPr>
                <w:rFonts w:ascii="仿宋_GB2312" w:hAnsi="仿宋_GB2312" w:cs="仿宋_GB2312" w:eastAsia="仿宋_GB2312"/>
                <w:sz w:val="24"/>
              </w:rPr>
              <w:t>60个日历天</w:t>
            </w:r>
            <w:r>
              <w:rPr>
                <w:rFonts w:ascii="仿宋_GB2312" w:hAnsi="仿宋_GB2312" w:cs="仿宋_GB2312" w:eastAsia="仿宋_GB2312"/>
                <w:sz w:val="24"/>
              </w:rPr>
              <w:t>。</w:t>
            </w:r>
          </w:p>
          <w:p>
            <w:pPr>
              <w:pStyle w:val="null3"/>
              <w:spacing w:before="315"/>
              <w:ind w:left="420"/>
              <w:jc w:val="both"/>
            </w:pPr>
            <w:r>
              <w:rPr>
                <w:rFonts w:ascii="仿宋_GB2312" w:hAnsi="仿宋_GB2312" w:cs="仿宋_GB2312" w:eastAsia="仿宋_GB2312"/>
                <w:sz w:val="24"/>
                <w:b/>
              </w:rPr>
              <w:t>三</w:t>
            </w:r>
            <w:r>
              <w:rPr>
                <w:rFonts w:ascii="仿宋_GB2312" w:hAnsi="仿宋_GB2312" w:cs="仿宋_GB2312" w:eastAsia="仿宋_GB2312"/>
                <w:sz w:val="24"/>
                <w:b/>
              </w:rPr>
              <w:t>、商务要求</w:t>
            </w:r>
          </w:p>
          <w:p>
            <w:pPr>
              <w:pStyle w:val="null3"/>
              <w:ind w:firstLine="480"/>
            </w:pPr>
            <w:r>
              <w:rPr>
                <w:rFonts w:ascii="仿宋_GB2312" w:hAnsi="仿宋_GB2312" w:cs="仿宋_GB2312" w:eastAsia="仿宋_GB2312"/>
                <w:sz w:val="24"/>
              </w:rPr>
              <w:t>（一）支付方式</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1、合同签订后，达到付款条件起10个工作日内，支付合同总金额的30.0%。</w:t>
            </w:r>
          </w:p>
          <w:p>
            <w:pPr>
              <w:pStyle w:val="null3"/>
              <w:ind w:firstLine="480"/>
            </w:pPr>
            <w:r>
              <w:rPr>
                <w:rFonts w:ascii="仿宋_GB2312" w:hAnsi="仿宋_GB2312" w:cs="仿宋_GB2312" w:eastAsia="仿宋_GB2312"/>
                <w:sz w:val="24"/>
              </w:rPr>
              <w:t>2、项目成果报告完成后，达到付款条件起10个工作日内，支付合同总金额的67.0%。</w:t>
            </w:r>
          </w:p>
          <w:p>
            <w:pPr>
              <w:pStyle w:val="null3"/>
              <w:ind w:firstLine="480"/>
            </w:pPr>
            <w:r>
              <w:rPr>
                <w:rFonts w:ascii="仿宋_GB2312" w:hAnsi="仿宋_GB2312" w:cs="仿宋_GB2312" w:eastAsia="仿宋_GB2312"/>
                <w:sz w:val="24"/>
              </w:rPr>
              <w:t>3、本项目施工单位交工验收后，达到付款条件起10个工作日内，支付合同总金额的3.0%。</w:t>
            </w:r>
          </w:p>
          <w:p>
            <w:pPr>
              <w:pStyle w:val="null3"/>
              <w:spacing w:before="315"/>
              <w:ind w:left="420"/>
              <w:jc w:val="both"/>
            </w:pPr>
            <w:r>
              <w:rPr>
                <w:rFonts w:ascii="仿宋_GB2312" w:hAnsi="仿宋_GB2312" w:cs="仿宋_GB2312" w:eastAsia="仿宋_GB2312"/>
                <w:sz w:val="24"/>
                <w:b/>
              </w:rPr>
              <w:t>四</w:t>
            </w:r>
            <w:r>
              <w:rPr>
                <w:rFonts w:ascii="仿宋_GB2312" w:hAnsi="仿宋_GB2312" w:cs="仿宋_GB2312" w:eastAsia="仿宋_GB2312"/>
                <w:sz w:val="24"/>
                <w:b/>
              </w:rPr>
              <w:t>、其他</w:t>
            </w:r>
          </w:p>
          <w:p>
            <w:pPr>
              <w:pStyle w:val="null3"/>
              <w:jc w:val="both"/>
            </w:pPr>
            <w:r>
              <w:rPr>
                <w:rFonts w:ascii="仿宋_GB2312" w:hAnsi="仿宋_GB2312" w:cs="仿宋_GB2312" w:eastAsia="仿宋_GB2312"/>
                <w:sz w:val="24"/>
              </w:rPr>
              <w:t>（一）质量验收标准或规范</w:t>
            </w:r>
          </w:p>
          <w:p>
            <w:pPr>
              <w:pStyle w:val="null3"/>
              <w:ind w:firstLine="240"/>
              <w:jc w:val="both"/>
            </w:pPr>
            <w:r>
              <w:rPr>
                <w:rFonts w:ascii="仿宋_GB2312" w:hAnsi="仿宋_GB2312" w:cs="仿宋_GB2312" w:eastAsia="仿宋_GB2312"/>
                <w:sz w:val="24"/>
              </w:rPr>
              <w:t>必须达到国家及行业现行技术规范标准，符合国家及行业验收合格标准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违约责任</w:t>
            </w:r>
          </w:p>
          <w:p>
            <w:pPr>
              <w:pStyle w:val="null3"/>
              <w:ind w:firstLine="480"/>
              <w:jc w:val="both"/>
            </w:pPr>
            <w:r>
              <w:rPr>
                <w:rFonts w:ascii="仿宋_GB2312" w:hAnsi="仿宋_GB2312" w:cs="仿宋_GB2312" w:eastAsia="仿宋_GB2312"/>
                <w:sz w:val="24"/>
              </w:rPr>
              <w:t>依据《中华人民共和国民法典》及相关条款和本合同约定，成交单位未全面履行合同义务或者发生违约，</w:t>
            </w:r>
            <w:r>
              <w:rPr>
                <w:rFonts w:ascii="仿宋_GB2312" w:hAnsi="仿宋_GB2312" w:cs="仿宋_GB2312" w:eastAsia="仿宋_GB2312"/>
                <w:sz w:val="24"/>
              </w:rPr>
              <w:t>招标</w:t>
            </w:r>
            <w:r>
              <w:rPr>
                <w:rFonts w:ascii="仿宋_GB2312" w:hAnsi="仿宋_GB2312" w:cs="仿宋_GB2312" w:eastAsia="仿宋_GB2312"/>
                <w:sz w:val="24"/>
              </w:rPr>
              <w:t>人会同招标代理机构有权终止合同，依法向成交单位进行经济索赔，并报请政府采购监督管理机关进行相应的行政处罚。</w:t>
            </w:r>
          </w:p>
          <w:p>
            <w:pPr>
              <w:pStyle w:val="null3"/>
              <w:ind w:firstLine="480"/>
              <w:jc w:val="both"/>
            </w:pPr>
            <w:r>
              <w:rPr>
                <w:rFonts w:ascii="仿宋_GB2312" w:hAnsi="仿宋_GB2312" w:cs="仿宋_GB2312" w:eastAsia="仿宋_GB2312"/>
                <w:sz w:val="24"/>
              </w:rPr>
              <w:t>招标</w:t>
            </w:r>
            <w:r>
              <w:rPr>
                <w:rFonts w:ascii="仿宋_GB2312" w:hAnsi="仿宋_GB2312" w:cs="仿宋_GB2312" w:eastAsia="仿宋_GB2312"/>
                <w:sz w:val="24"/>
              </w:rPr>
              <w:t>人违约的，应当赔偿给成交单位造成的经济损失。合同执行中发生争议的，当事人双方应协商解决，协商达不成一致时，可</w:t>
            </w:r>
            <w:r>
              <w:rPr>
                <w:rFonts w:ascii="仿宋_GB2312" w:hAnsi="仿宋_GB2312" w:cs="仿宋_GB2312" w:eastAsia="仿宋_GB2312"/>
                <w:sz w:val="24"/>
              </w:rPr>
              <w:t>向西安仲裁委员会提请仲裁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（三）验收</w:t>
            </w:r>
          </w:p>
          <w:p>
            <w:pPr>
              <w:pStyle w:val="null3"/>
              <w:ind w:firstLine="480"/>
              <w:jc w:val="both"/>
            </w:pPr>
            <w:r>
              <w:rPr>
                <w:rFonts w:ascii="仿宋_GB2312" w:hAnsi="仿宋_GB2312" w:cs="仿宋_GB2312" w:eastAsia="仿宋_GB2312"/>
                <w:sz w:val="24"/>
              </w:rPr>
              <w:t>（1）在项目完成后，</w:t>
            </w:r>
            <w:r>
              <w:rPr>
                <w:rFonts w:ascii="仿宋_GB2312" w:hAnsi="仿宋_GB2312" w:cs="仿宋_GB2312" w:eastAsia="仿宋_GB2312"/>
                <w:sz w:val="24"/>
              </w:rPr>
              <w:t>按照采购合同约定的技术、服务、标准对每一项技术、服务、标准的履约情况进行验收，并出具验收书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（2）验收不合格的立即整改，</w:t>
            </w:r>
            <w:r>
              <w:rPr>
                <w:rFonts w:ascii="仿宋_GB2312" w:hAnsi="仿宋_GB2312" w:cs="仿宋_GB2312" w:eastAsia="仿宋_GB2312"/>
                <w:sz w:val="24"/>
              </w:rPr>
              <w:t>必须在接到通知后</w:t>
            </w:r>
            <w:r>
              <w:rPr>
                <w:rFonts w:ascii="仿宋_GB2312" w:hAnsi="仿宋_GB2312" w:cs="仿宋_GB2312" w:eastAsia="仿宋_GB2312"/>
                <w:sz w:val="24"/>
              </w:rPr>
              <w:t>7 个日历天内确保通过验收。</w:t>
            </w:r>
          </w:p>
          <w:p>
            <w:pPr>
              <w:pStyle w:val="null3"/>
              <w:ind w:firstLine="480"/>
              <w:jc w:val="both"/>
            </w:pPr>
            <w:r>
              <w:rPr>
                <w:rFonts w:ascii="仿宋_GB2312" w:hAnsi="仿宋_GB2312" w:cs="仿宋_GB2312" w:eastAsia="仿宋_GB2312"/>
                <w:sz w:val="24"/>
              </w:rPr>
              <w:t>（3）验收依据：</w:t>
            </w:r>
            <w:r>
              <w:rPr>
                <w:rFonts w:ascii="仿宋_GB2312" w:hAnsi="仿宋_GB2312" w:cs="仿宋_GB2312" w:eastAsia="仿宋_GB2312"/>
                <w:sz w:val="24"/>
              </w:rPr>
              <w:t>合同文本及合同补充文件（条款）</w:t>
            </w:r>
            <w:r>
              <w:rPr>
                <w:rFonts w:ascii="仿宋_GB2312" w:hAnsi="仿宋_GB2312" w:cs="仿宋_GB2312" w:eastAsia="仿宋_GB2312"/>
                <w:sz w:val="24"/>
              </w:rPr>
              <w:t>、</w:t>
            </w:r>
            <w:r>
              <w:rPr>
                <w:rFonts w:ascii="仿宋_GB2312" w:hAnsi="仿宋_GB2312" w:cs="仿宋_GB2312" w:eastAsia="仿宋_GB2312"/>
                <w:sz w:val="24"/>
              </w:rPr>
              <w:t>招标文件</w:t>
            </w:r>
            <w:r>
              <w:rPr>
                <w:rFonts w:ascii="仿宋_GB2312" w:hAnsi="仿宋_GB2312" w:cs="仿宋_GB2312" w:eastAsia="仿宋_GB2312"/>
                <w:sz w:val="24"/>
              </w:rPr>
              <w:t>、</w:t>
            </w:r>
            <w:r>
              <w:rPr>
                <w:rFonts w:ascii="仿宋_GB2312" w:hAnsi="仿宋_GB2312" w:cs="仿宋_GB2312" w:eastAsia="仿宋_GB2312"/>
                <w:sz w:val="24"/>
              </w:rPr>
              <w:t>投标文件</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按照采购合同约定的技术、服务、标准对每一项技术、服务、标准的履约情况进行验收，并出具验收书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进度款，项目成果报告完成后，达到付款条件起10个工作日内，支付合同总金额的67.0%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进度款，本项目施工单位交工验收后，达到付款条件起10个工作日内，支付合同总金额的3.0%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1、质量验收标准或规范 必须达到国家及行业现行技术规范标准，符合国家及行业验收合格标准。 2、验收 （1）在项目完成后，按照采购合同约定的技术、服务、标准对每一项技术、服务、标准的履约情况进行验收，并出具验收书。 （2）验收不合格的立即整改，必须在接到通知后 7 个日历天内确保通过验收。 3、验收依据 合同文本及合同补充文件（条款）、招标文件、投标文件。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（1）提供合格有效的法人或者其他组织的营业执照等证明文件；投标人是法人或其他组织的应提供营业执照等证明文件，投标人是自然人的应提供有效的自然人身份证明； （2）税收缴纳证明：投标人需提供开标截止日期前6个月内任意一个月的完税凭证或税务机关开具的完税证明任意税种；依法免税的应提供相关文件证明； （3）社会保障资金缴纳证明：投标人需提供开标截止日期前6个月内任意一个月的社会保障资金缴存单据或社保机构开具的社会保险参保缴费情况证明；依法不需要缴纳社会保障资金的应提供相关文件证明；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（5）提供投标人具备履行合同所必需的设备和专业技术能力的证明； 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和利润表）或开标前六个月内其基本账户银行出具的资信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投标单位负责人为同一人或者存在直接控股、管理关系的不同投标单位，不得参加本次投标活动；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投标人具备建设行政主管部门颁发的工程设计综合甲级资质或建筑行业（建筑工程）乙级及以上资质；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投标人拟派项目经理</w:t>
            </w:r>
          </w:p>
        </w:tc>
        <w:tc>
          <w:tcPr>
            <w:tcW w:type="dxa" w:w="3322"/>
          </w:tcPr>
          <w:p>
            <w:pPr>
              <w:pStyle w:val="null3"/>
            </w:pPr>
            <w:r>
              <w:rPr>
                <w:rFonts w:ascii="仿宋_GB2312" w:hAnsi="仿宋_GB2312" w:cs="仿宋_GB2312" w:eastAsia="仿宋_GB2312"/>
              </w:rPr>
              <w:t>拟派项目经理具备二级注册结构工程师资格及以上或二级注册建筑师及以上或建筑行业相关专业高级工程帅职称(提供项目经理的社保缴纳证明）；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查询结果为准）；</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开标一览表 分项报价表 安全文明作业保障措施 中小企业声明函 业绩 商务应答表 工期进度保证措施 服务内容及服务要求应答表 项目人员团队 投标人应提交的相关资格证明材料 项目负责人 投标函 残疾人福利性单位声明函 服务方案 标的清单 投标文件封面 售后与配合服务 监狱企业的证明文件 其他相关资料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投标文件格式，投标文件是否按照招标文件要求的格式编写，内容是否有重大缺漏项</w:t>
            </w:r>
          </w:p>
        </w:tc>
        <w:tc>
          <w:tcPr>
            <w:tcW w:type="dxa" w:w="1661"/>
          </w:tcPr>
          <w:p>
            <w:pPr>
              <w:pStyle w:val="null3"/>
            </w:pPr>
            <w:r>
              <w:rPr>
                <w:rFonts w:ascii="仿宋_GB2312" w:hAnsi="仿宋_GB2312" w:cs="仿宋_GB2312" w:eastAsia="仿宋_GB2312"/>
              </w:rPr>
              <w:t>开标一览表 分项报价表 安全文明作业保障措施 中小企业声明函 业绩 商务应答表 工期进度保证措施 服务内容及服务要求应答表 项目人员团队 投标人应提交的相关资格证明材料 项目负责人 投标函 残疾人福利性单位声明函 服务方案 标的清单 投标文件封面 售后与配合服务 其他相关资料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投标文件的签署、加盖印章</w:t>
            </w:r>
          </w:p>
        </w:tc>
        <w:tc>
          <w:tcPr>
            <w:tcW w:type="dxa" w:w="3322"/>
          </w:tcPr>
          <w:p>
            <w:pPr>
              <w:pStyle w:val="null3"/>
            </w:pPr>
            <w:r>
              <w:rPr>
                <w:rFonts w:ascii="仿宋_GB2312" w:hAnsi="仿宋_GB2312" w:cs="仿宋_GB2312" w:eastAsia="仿宋_GB2312"/>
              </w:rPr>
              <w:t>投标文件的签署、加盖印章需合格、有效</w:t>
            </w:r>
          </w:p>
        </w:tc>
        <w:tc>
          <w:tcPr>
            <w:tcW w:type="dxa" w:w="1661"/>
          </w:tcPr>
          <w:p>
            <w:pPr>
              <w:pStyle w:val="null3"/>
            </w:pPr>
            <w:r>
              <w:rPr>
                <w:rFonts w:ascii="仿宋_GB2312" w:hAnsi="仿宋_GB2312" w:cs="仿宋_GB2312" w:eastAsia="仿宋_GB2312"/>
              </w:rPr>
              <w:t>开标一览表 分项报价表 安全文明作业保障措施 中小企业声明函 业绩 商务应答表 工期进度保证措施 服务内容及服务要求应答表 项目人员团队 投标人应提交的相关资格证明材料 项目负责人 投标函 残疾人福利性单位声明函 服务方案 标的清单 投标文件封面 售后与配合服务 其他相关资料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标的清单 服务内容及服务要求应答表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投标人提交的投标文件中只有一个有效报价</w:t>
            </w:r>
          </w:p>
        </w:tc>
        <w:tc>
          <w:tcPr>
            <w:tcW w:type="dxa" w:w="1661"/>
          </w:tcPr>
          <w:p>
            <w:pPr>
              <w:pStyle w:val="null3"/>
            </w:pPr>
            <w:r>
              <w:rPr>
                <w:rFonts w:ascii="仿宋_GB2312" w:hAnsi="仿宋_GB2312" w:cs="仿宋_GB2312" w:eastAsia="仿宋_GB2312"/>
              </w:rPr>
              <w:t>开标一览表 分项报价表 投标函 标的清单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对招标文件响应的程度</w:t>
            </w:r>
          </w:p>
        </w:tc>
        <w:tc>
          <w:tcPr>
            <w:tcW w:type="dxa" w:w="3322"/>
          </w:tcPr>
          <w:p>
            <w:pPr>
              <w:pStyle w:val="null3"/>
            </w:pPr>
            <w:r>
              <w:rPr>
                <w:rFonts w:ascii="仿宋_GB2312" w:hAnsi="仿宋_GB2312" w:cs="仿宋_GB2312" w:eastAsia="仿宋_GB2312"/>
              </w:rPr>
              <w:t>要求商务条款全部响应，不能有采购人不能接受的附加条件</w:t>
            </w:r>
          </w:p>
        </w:tc>
        <w:tc>
          <w:tcPr>
            <w:tcW w:type="dxa" w:w="1661"/>
          </w:tcPr>
          <w:p>
            <w:pPr>
              <w:pStyle w:val="null3"/>
            </w:pPr>
            <w:r>
              <w:rPr>
                <w:rFonts w:ascii="仿宋_GB2312" w:hAnsi="仿宋_GB2312" w:cs="仿宋_GB2312" w:eastAsia="仿宋_GB2312"/>
              </w:rPr>
              <w:t>开标一览表 分项报价表 安全文明作业保障措施 中小企业声明函 业绩 商务应答表 工期进度保证措施 服务内容及服务要求应答表 项目人员团队 投标人应提交的相关资格证明材料 项目负责人 投标函 残疾人福利性单位声明函 服务方案 标的清单 投标文件封面 售后与配合服务 其他相关资料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投标文件格式，投标文件是否按照招标文件要求的格式编写，内容是否有重大缺漏项</w:t>
            </w:r>
          </w:p>
        </w:tc>
        <w:tc>
          <w:tcPr>
            <w:tcW w:type="dxa" w:w="1661"/>
          </w:tcPr>
          <w:p>
            <w:pPr>
              <w:pStyle w:val="null3"/>
            </w:pPr>
            <w:r>
              <w:rPr>
                <w:rFonts w:ascii="仿宋_GB2312" w:hAnsi="仿宋_GB2312" w:cs="仿宋_GB2312" w:eastAsia="仿宋_GB2312"/>
              </w:rPr>
              <w:t>开标一览表 分项报价表 安全文明作业保障措施 中小企业声明函 业绩 商务应答表 工期进度保证措施 服务内容及服务要求应答表 项目人员团队 投标人应提交的相关资格证明材料 项目负责人 投标函 残疾人福利性单位声明函 服务方案 标的清单 投标文件封面 售后与配合服务 其他相关资料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一、评审内容：①项目需求理解与工作思路；②专项调查鉴定设计工作流程方案；③质量管控与合规保障方案；④成果输出与资料归档方案；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上述4项评审内容全部满足评审标准得16分，每有一个评审内容缺项扣4分，每有一项评审内容存在一项缺陷，扣0.5分，扣完为止，不出现负分。 说明：缺陷是指以下任意一种情形:名称、符号、文字表述存在错误； 技术或服务方案不完整、内容前后矛盾； 包含与本项目采购情况无关的内容； 涉及内容与本项目采购需求要求不一致； 照搬、套用其他采购项目内容； 仅简单复制粘贴采购需求内容，未结合项目作出实质性描述。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工期进度保证措施</w:t>
            </w:r>
          </w:p>
        </w:tc>
        <w:tc>
          <w:tcPr>
            <w:tcW w:type="dxa" w:w="2492"/>
          </w:tcPr>
          <w:p>
            <w:pPr>
              <w:pStyle w:val="null3"/>
            </w:pPr>
            <w:r>
              <w:rPr>
                <w:rFonts w:ascii="仿宋_GB2312" w:hAnsi="仿宋_GB2312" w:cs="仿宋_GB2312" w:eastAsia="仿宋_GB2312"/>
              </w:rPr>
              <w:t>一、评审内容：①对本项目整体工期进度保证措施；②针对改造鉴定设计、现场实施、验收交付等各关键节点的进度保障措施。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上述2项评审内容全部满足评审标准得10分，每有一个评审内容缺项扣5分，每有一项评审内容存在一项缺陷，扣0.5分，扣完为止，不出现负分。 说明：缺陷是指以下任意一种情形:名称、符号、文字表述存在错误； 技术或服务方案不完整、内容前后矛盾； 包含与本项目采购情况无关的内容； 涉及内容与本项目采购需求要求不一致； 照搬、套用其他采购项目内容； 仅简单复制粘贴采购需求内容，未结合项目作出实质性描述。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工期进度保证措施</w:t>
            </w:r>
          </w:p>
        </w:tc>
      </w:tr>
      <w:tr>
        <w:tc>
          <w:tcPr>
            <w:tcW w:type="dxa" w:w="831"/>
            <w:vMerge/>
          </w:tcPr>
          <w:p/>
        </w:tc>
        <w:tc>
          <w:tcPr>
            <w:tcW w:type="dxa" w:w="1661"/>
          </w:tcPr>
          <w:p>
            <w:pPr>
              <w:pStyle w:val="null3"/>
            </w:pPr>
            <w:r>
              <w:rPr>
                <w:rFonts w:ascii="仿宋_GB2312" w:hAnsi="仿宋_GB2312" w:cs="仿宋_GB2312" w:eastAsia="仿宋_GB2312"/>
              </w:rPr>
              <w:t>售后与配合服务</w:t>
            </w:r>
          </w:p>
        </w:tc>
        <w:tc>
          <w:tcPr>
            <w:tcW w:type="dxa" w:w="2492"/>
          </w:tcPr>
          <w:p>
            <w:pPr>
              <w:pStyle w:val="null3"/>
            </w:pPr>
            <w:r>
              <w:rPr>
                <w:rFonts w:ascii="仿宋_GB2312" w:hAnsi="仿宋_GB2312" w:cs="仿宋_GB2312" w:eastAsia="仿宋_GB2312"/>
              </w:rPr>
              <w:t>一、评审内容：①承诺全程配合招标人核查、整改答疑、资料报审、改造对接等后续服务； ②售后响应及时、有明确响应时间、明确售后服务人员姓名、联系方式；③不能完全履行承诺时接受处罚等情况做出承诺。 二、评审标准：1、完善性：方案必须全面，对评审内容中的各项要求有详细阐述；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上述3项评审内容全部满足评审标准得9分，每有一个评审内容缺项扣3分，每有一项评审内容存在一项缺陷，扣0.25分，扣完为止，不出现负分。 说明：缺陷是指以下任意一种情形:名称、符号、文字表述存在错误； 技术或服务方案不完整、内容前后矛盾； 包含与本项目采购情况无关的内容； 涉及内容与本项目采购需求要求不一致； 照搬、套用其他采购项目内容； 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售后与配合服务</w:t>
            </w:r>
          </w:p>
        </w:tc>
      </w:tr>
      <w:tr>
        <w:tc>
          <w:tcPr>
            <w:tcW w:type="dxa" w:w="831"/>
            <w:vMerge/>
          </w:tcPr>
          <w:p/>
        </w:tc>
        <w:tc>
          <w:tcPr>
            <w:tcW w:type="dxa" w:w="1661"/>
          </w:tcPr>
          <w:p>
            <w:pPr>
              <w:pStyle w:val="null3"/>
            </w:pPr>
            <w:r>
              <w:rPr>
                <w:rFonts w:ascii="仿宋_GB2312" w:hAnsi="仿宋_GB2312" w:cs="仿宋_GB2312" w:eastAsia="仿宋_GB2312"/>
              </w:rPr>
              <w:t>安全文明作业保障措施</w:t>
            </w:r>
          </w:p>
        </w:tc>
        <w:tc>
          <w:tcPr>
            <w:tcW w:type="dxa" w:w="2492"/>
          </w:tcPr>
          <w:p>
            <w:pPr>
              <w:pStyle w:val="null3"/>
            </w:pPr>
            <w:r>
              <w:rPr>
                <w:rFonts w:ascii="仿宋_GB2312" w:hAnsi="仿宋_GB2312" w:cs="仿宋_GB2312" w:eastAsia="仿宋_GB2312"/>
              </w:rPr>
              <w:t>一、评审内容：①制定现场勘查安全作业规范、人员安全防护；②农村现场文明施工、风险防控措施； 二、评审标准：1、完善性：方案必须全面，对评审内容中的各项要求有详细阐述； 2、可实施性：切合本项目实际情况，提出步骤清晰、合理的方案； 3、针对性：方案能够紧扣项目实际情况，内容科学合理。 上述2项评审内容全部满足评审标准得5分，每有一个评审内容缺项扣2.5分，每有一项评审内容存在一项缺陷，扣0.25分，扣完为止，不出现负分。 说明：缺陷是指以下任意一种情形:名称、符号、文字表述存在错误； 技术或服务方案不完整、内容前后矛盾； 包含与本项目采购情况无关的内容； 涉及内容与本项目采购需求要求不一致； 照搬、套用其他采购项目内容； 仅简单复制粘贴采购需求内容，未结合项目作出实质性描述。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安全文明作业保障措施</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①项目负责人2023年1月1日至今承担过改造设计类项目，每提供1个计3分，最多得6分； 赋分依据：提供合同复印件或中标通知书复印件（复印件至少含合同首页，反映项目负责人姓名关键页，双方签字盖章页），需加盖供应商公章。 ②具有建筑工程相关专业中级职称得3分；具有高级职称得6分，没有不得分（以加盖公章的职称证复印件、相关经验证明材料为准。）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w:t>
            </w:r>
          </w:p>
        </w:tc>
      </w:tr>
      <w:tr>
        <w:tc>
          <w:tcPr>
            <w:tcW w:type="dxa" w:w="831"/>
            <w:vMerge/>
          </w:tcPr>
          <w:p/>
        </w:tc>
        <w:tc>
          <w:tcPr>
            <w:tcW w:type="dxa" w:w="1661"/>
          </w:tcPr>
          <w:p>
            <w:pPr>
              <w:pStyle w:val="null3"/>
            </w:pPr>
            <w:r>
              <w:rPr>
                <w:rFonts w:ascii="仿宋_GB2312" w:hAnsi="仿宋_GB2312" w:cs="仿宋_GB2312" w:eastAsia="仿宋_GB2312"/>
              </w:rPr>
              <w:t>项目人员团队</w:t>
            </w:r>
          </w:p>
        </w:tc>
        <w:tc>
          <w:tcPr>
            <w:tcW w:type="dxa" w:w="2492"/>
          </w:tcPr>
          <w:p>
            <w:pPr>
              <w:pStyle w:val="null3"/>
            </w:pPr>
            <w:r>
              <w:rPr>
                <w:rFonts w:ascii="仿宋_GB2312" w:hAnsi="仿宋_GB2312" w:cs="仿宋_GB2312" w:eastAsia="仿宋_GB2312"/>
              </w:rPr>
              <w:t>①团队人员至少具有5名注册类相关人员，每配备1人得2分，每增加一人得1分，最多增加3分；最多13分; ②项目团队人员具备相关专业工程师或高级工程师职称，每1人得1分，最多7分;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项目人员团队</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投标人2023年1月1日至今承担过改造设计类项目，每提供1个完整有效业绩计3分，最多计18分。 赋分依据：提供合同复印件(日期以提供的合同签订日期为准）。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响应文件，其报价为有效投标报价，以最后投标报价最低的报价为评审基准价，其价格分为满分。其他供应商的价格分统一按照下列公式计算：报价得分=（基准价/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详见附件：工期进度保证措施</w:t>
      </w:r>
    </w:p>
    <w:p>
      <w:pPr>
        <w:pStyle w:val="null3"/>
        <w:ind w:firstLine="960"/>
      </w:pPr>
      <w:r>
        <w:rPr>
          <w:rFonts w:ascii="仿宋_GB2312" w:hAnsi="仿宋_GB2312" w:cs="仿宋_GB2312" w:eastAsia="仿宋_GB2312"/>
        </w:rPr>
        <w:t>详见附件：售后与配合服务</w:t>
      </w:r>
    </w:p>
    <w:p>
      <w:pPr>
        <w:pStyle w:val="null3"/>
        <w:ind w:firstLine="960"/>
      </w:pPr>
      <w:r>
        <w:rPr>
          <w:rFonts w:ascii="仿宋_GB2312" w:hAnsi="仿宋_GB2312" w:cs="仿宋_GB2312" w:eastAsia="仿宋_GB2312"/>
        </w:rPr>
        <w:t>详见附件：安全文明作业保障措施</w:t>
      </w:r>
    </w:p>
    <w:p>
      <w:pPr>
        <w:pStyle w:val="null3"/>
        <w:ind w:firstLine="960"/>
      </w:pPr>
      <w:r>
        <w:rPr>
          <w:rFonts w:ascii="仿宋_GB2312" w:hAnsi="仿宋_GB2312" w:cs="仿宋_GB2312" w:eastAsia="仿宋_GB2312"/>
        </w:rPr>
        <w:t>详见附件：项目负责人</w:t>
      </w:r>
    </w:p>
    <w:p>
      <w:pPr>
        <w:pStyle w:val="null3"/>
        <w:ind w:firstLine="960"/>
      </w:pPr>
      <w:r>
        <w:rPr>
          <w:rFonts w:ascii="仿宋_GB2312" w:hAnsi="仿宋_GB2312" w:cs="仿宋_GB2312" w:eastAsia="仿宋_GB2312"/>
        </w:rPr>
        <w:t>详见附件：项目人员团队</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详见附件：其他相关资料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