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8C687">
      <w:pPr>
        <w:pStyle w:val="14"/>
        <w:keepNext w:val="0"/>
        <w:keepLines w:val="0"/>
        <w:pageBreakBefore w:val="0"/>
        <w:kinsoku/>
        <w:wordWrap/>
        <w:overflowPunct/>
        <w:topLinePunct w:val="0"/>
        <w:autoSpaceDE/>
        <w:autoSpaceDN/>
        <w:bidi w:val="0"/>
        <w:spacing w:line="360" w:lineRule="auto"/>
        <w:ind w:firstLine="420"/>
        <w:jc w:val="center"/>
        <w:rPr>
          <w:rFonts w:hint="eastAsia"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政府采购合同格式</w:t>
      </w:r>
    </w:p>
    <w:p w14:paraId="078053D2">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合同编号： </w:t>
      </w:r>
    </w:p>
    <w:p w14:paraId="440CE83E">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签订地点： </w:t>
      </w:r>
    </w:p>
    <w:p w14:paraId="3194830C">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签订时间： </w:t>
      </w:r>
    </w:p>
    <w:p w14:paraId="0E9298BC">
      <w:pPr>
        <w:pStyle w:val="14"/>
        <w:keepNext w:val="0"/>
        <w:keepLines w:val="0"/>
        <w:pageBreakBefore w:val="0"/>
        <w:kinsoku/>
        <w:wordWrap/>
        <w:overflowPunct/>
        <w:topLinePunct w:val="0"/>
        <w:autoSpaceDE/>
        <w:autoSpaceDN/>
        <w:bidi w:val="0"/>
        <w:adjustRightInd/>
        <w:spacing w:line="360" w:lineRule="auto"/>
        <w:ind w:firstLine="384" w:firstLineChars="183"/>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是否为专门面向中小企业的采购项目：</w:t>
      </w:r>
      <w:r>
        <w:rPr>
          <w:rFonts w:hint="eastAsia" w:ascii="宋体" w:hAnsi="宋体" w:eastAsia="宋体" w:cs="宋体"/>
          <w:color w:val="auto"/>
          <w:sz w:val="21"/>
          <w:szCs w:val="21"/>
          <w:highlight w:val="none"/>
          <w:lang w:val="en-US" w:eastAsia="zh-CN"/>
        </w:rPr>
        <w:t>是</w:t>
      </w:r>
    </w:p>
    <w:p w14:paraId="067B319F">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采购人（甲方）：</w:t>
      </w:r>
    </w:p>
    <w:p w14:paraId="0AC9F0D7">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（乙方）：</w:t>
      </w:r>
    </w:p>
    <w:p w14:paraId="154A7929">
      <w:pPr>
        <w:pStyle w:val="5"/>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根据《中华人民共和国政府采购法》及实施条例、《中华人民共和国民法典》和长安路街道办事处朱雀大街北段东侧危旧房屋连片改造考古工作劳务项目（采购项目编号SXLX26-02-050Z(F)</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的采购文件、响应文件等有关规定，为确保甲方采购项目的顺利实施，甲、乙双方在平等自愿原则下签订本合同，并共同遵守如下条款，其主要要求如下：</w:t>
      </w:r>
    </w:p>
    <w:p w14:paraId="1F9AF46F">
      <w:pPr>
        <w:keepNext w:val="0"/>
        <w:keepLines w:val="0"/>
        <w:pageBreakBefore w:val="0"/>
        <w:widowControl/>
        <w:kinsoku/>
        <w:wordWrap/>
        <w:overflowPunct/>
        <w:topLinePunct w:val="0"/>
        <w:autoSpaceDE/>
        <w:autoSpaceDN/>
        <w:bidi w:val="0"/>
        <w:adjustRightInd/>
        <w:spacing w:line="360" w:lineRule="auto"/>
        <w:ind w:firstLine="422" w:firstLineChars="200"/>
        <w:jc w:val="left"/>
        <w:textAlignment w:val="auto"/>
        <w:outlineLvl w:val="1"/>
        <w:rPr>
          <w:rFonts w:hint="eastAsia" w:ascii="宋体" w:hAnsi="宋体" w:eastAsia="宋体" w:cs="宋体"/>
          <w:b/>
          <w:color w:val="auto"/>
          <w:sz w:val="21"/>
          <w:szCs w:val="21"/>
          <w:highlight w:val="none"/>
        </w:rPr>
      </w:pPr>
      <w:bookmarkStart w:id="0" w:name="_Toc11438"/>
      <w:r>
        <w:rPr>
          <w:rFonts w:hint="eastAsia" w:ascii="宋体" w:hAnsi="宋体" w:eastAsia="宋体" w:cs="宋体"/>
          <w:b/>
          <w:color w:val="auto"/>
          <w:sz w:val="21"/>
          <w:szCs w:val="21"/>
          <w:highlight w:val="none"/>
        </w:rPr>
        <w:t>第一条  项目基本情况</w:t>
      </w:r>
      <w:bookmarkEnd w:id="0"/>
    </w:p>
    <w:p w14:paraId="50A7042B">
      <w:pPr>
        <w:pStyle w:val="15"/>
        <w:spacing w:line="360" w:lineRule="auto"/>
        <w:ind w:firstLine="480"/>
        <w:rPr>
          <w:rFonts w:hint="eastAsia" w:ascii="宋体" w:hAnsi="宋体" w:eastAsia="宋体" w:cs="宋体"/>
          <w:color w:val="auto"/>
          <w:kern w:val="2"/>
          <w:sz w:val="21"/>
          <w:szCs w:val="21"/>
          <w:highlight w:val="none"/>
          <w:lang w:val="en-US" w:eastAsia="zh-CN" w:bidi="ar-SA"/>
        </w:rPr>
      </w:pPr>
      <w:bookmarkStart w:id="1" w:name="_Toc24394"/>
      <w:r>
        <w:rPr>
          <w:rFonts w:hint="eastAsia" w:ascii="宋体" w:hAnsi="宋体" w:eastAsia="宋体" w:cs="宋体"/>
          <w:color w:val="auto"/>
          <w:kern w:val="2"/>
          <w:sz w:val="21"/>
          <w:szCs w:val="21"/>
          <w:highlight w:val="none"/>
          <w:lang w:val="en-US" w:eastAsia="zh-CN" w:bidi="ar-SA"/>
        </w:rPr>
        <w:t>本项目为朱雀大街北段东侧危旧房屋连片改造考古工作劳务项目。配合考古单位对区域内古代文化遗迹遗存，开展必要考古发掘。</w:t>
      </w:r>
    </w:p>
    <w:p w14:paraId="33408560">
      <w:pPr>
        <w:keepNext w:val="0"/>
        <w:keepLines w:val="0"/>
        <w:pageBreakBefore w:val="0"/>
        <w:widowControl/>
        <w:numPr>
          <w:ilvl w:val="0"/>
          <w:numId w:val="2"/>
        </w:numPr>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服务期限</w:t>
      </w:r>
      <w:bookmarkEnd w:id="1"/>
    </w:p>
    <w:p w14:paraId="4A66E76C">
      <w:pPr>
        <w:keepNext w:val="0"/>
        <w:keepLines w:val="0"/>
        <w:pageBreakBefore w:val="0"/>
        <w:widowControl/>
        <w:numPr>
          <w:ilvl w:val="0"/>
          <w:numId w:val="0"/>
        </w:numPr>
        <w:kinsoku/>
        <w:wordWrap/>
        <w:overflowPunct/>
        <w:topLinePunct w:val="0"/>
        <w:autoSpaceDE/>
        <w:autoSpaceDN/>
        <w:bidi w:val="0"/>
        <w:spacing w:line="360" w:lineRule="auto"/>
        <w:jc w:val="left"/>
        <w:outlineLvl w:val="1"/>
        <w:rPr>
          <w:rFonts w:hint="eastAsia" w:ascii="宋体" w:hAnsi="宋体" w:eastAsia="宋体" w:cs="宋体"/>
          <w:b/>
          <w:color w:val="auto"/>
          <w:sz w:val="21"/>
          <w:szCs w:val="21"/>
          <w:highlight w:val="none"/>
          <w:u w:val="single"/>
          <w:lang w:val="en-US" w:eastAsia="zh-CN"/>
        </w:rPr>
      </w:pP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u w:val="single"/>
          <w:lang w:val="en-US" w:eastAsia="zh-CN"/>
        </w:rPr>
        <w:t>自合同签订之日起90天。</w:t>
      </w:r>
    </w:p>
    <w:p w14:paraId="4F8B903B">
      <w:pPr>
        <w:keepNext w:val="0"/>
        <w:keepLines w:val="0"/>
        <w:pageBreakBefore w:val="0"/>
        <w:widowControl/>
        <w:tabs>
          <w:tab w:val="left" w:pos="387"/>
        </w:tabs>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bookmarkStart w:id="2" w:name="_Toc2407"/>
      <w:bookmarkStart w:id="3" w:name="_Toc282696226"/>
      <w:bookmarkStart w:id="4" w:name="_Toc241833903"/>
      <w:bookmarkStart w:id="5" w:name="_Toc185395249"/>
      <w:bookmarkStart w:id="6" w:name="_Toc283019214"/>
      <w:bookmarkStart w:id="7" w:name="_Toc247334841"/>
      <w:bookmarkStart w:id="8" w:name="_Toc251768862"/>
      <w:bookmarkStart w:id="9" w:name="_Toc238984975"/>
      <w:bookmarkStart w:id="10" w:name="_Toc225654644"/>
      <w:bookmarkStart w:id="11" w:name="_Toc225670751"/>
      <w:bookmarkStart w:id="12" w:name="_Toc212019594"/>
      <w:bookmarkStart w:id="13" w:name="_Toc237145406"/>
      <w:bookmarkStart w:id="14" w:name="_Toc211911348"/>
      <w:bookmarkStart w:id="15" w:name="_Toc239568418"/>
      <w:bookmarkStart w:id="16" w:name="_Toc286993786"/>
      <w:bookmarkStart w:id="17" w:name="_Toc225244852"/>
      <w:bookmarkStart w:id="18" w:name="_Toc239233914"/>
      <w:bookmarkStart w:id="19" w:name="_Toc211854449"/>
      <w:bookmarkStart w:id="20" w:name="_Toc232492928"/>
      <w:r>
        <w:rPr>
          <w:rFonts w:hint="eastAsia" w:ascii="宋体" w:hAnsi="宋体" w:eastAsia="宋体" w:cs="宋体"/>
          <w:b/>
          <w:color w:val="auto"/>
          <w:sz w:val="21"/>
          <w:szCs w:val="21"/>
          <w:highlight w:val="none"/>
        </w:rPr>
        <w:t>第三条  服务内容与质量标准</w:t>
      </w:r>
      <w:bookmarkEnd w:id="2"/>
    </w:p>
    <w:p w14:paraId="6898AC78">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bookmarkStart w:id="21" w:name="_Toc20078"/>
      <w:r>
        <w:rPr>
          <w:rFonts w:hint="eastAsia" w:ascii="宋体" w:hAnsi="宋体" w:eastAsia="宋体" w:cs="宋体"/>
          <w:color w:val="auto"/>
          <w:sz w:val="21"/>
          <w:szCs w:val="21"/>
          <w:highlight w:val="none"/>
          <w:lang w:val="en-US" w:eastAsia="zh-CN"/>
        </w:rPr>
        <w:t>一、技术条款</w:t>
      </w:r>
    </w:p>
    <w:p w14:paraId="5BE4D4C7">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（一）技术要求：</w:t>
      </w:r>
    </w:p>
    <w:p w14:paraId="3F87B52C">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1.考古发掘进场前，乙方做好现场绿网覆盖等环境保护措施，以满足政府环境保护要求，排除可能干扰发掘工作的环境因素，以保证考古发掘工作的顺利进行。</w:t>
      </w:r>
    </w:p>
    <w:p w14:paraId="1A81B57D">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按照国家及行业对文物发掘现场的相关法律法规、行业规定，承担考古发掘所需的安全保卫工作。在工地现场选取合适位置自行搭建安全保卫值班室，并自行负责现场考古发掘所需的临水、临电设施。在考古发掘区域四周设置围挡形成封闭的工作区域，并在工地四周及出入口设置安全警示标志，安装监控预警等设备。负责安排足够的专职安全保卫人员，昼夜24小时在工地值班巡逻，并根据考古发掘单位要求在每一个考古发掘单位上方架设标准数量、规格的摄像监控，做到全程无死角监控发掘过程。安全保卫工作必须严格按照《考古工地安全保卫工作管理规范》执行；并接受考古发掘单位工地负责人及公安科人员的检查督查；负责所有考古工地的安全记录（包括值班记录、人员车辆出入登记、所有录像监控记录数据等），并在工地结束后必须全部提交考古发掘单位公安科存档。</w:t>
      </w:r>
    </w:p>
    <w:p w14:paraId="1D6636AF">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乙方为考古发掘提供文物发掘保护、看护、配合发掘清理中的民工劳务工作。做好现场文物保护，并全权负责管理好文物发掘清理保护过程中使用的机械、车辆及其他工器具以及人员，包括施工现场和生活场所等凡是乙方人员活动的地方。规范人员及民工的生活、工作、言行，其人身安全和财物安全等均由乙方自行负责。配合甲方及考古发掘单位出具考古发掘所需所有资料</w:t>
      </w:r>
    </w:p>
    <w:p w14:paraId="4B2C44CC">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4.乙方应根据国家和省、市有关法律法规及甲方的有关规定，配合考古单位按时完成考古发掘，包含土方劳务、支护加固、安保等内容。</w:t>
      </w:r>
    </w:p>
    <w:p w14:paraId="45560312">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5.乙方的服务方案符合相关要求并切实可行。对本项目及所处区域的文物发掘熟悉。具有对关键性问题的把握及解决方案、突发事件处理方案及安全预案的经验。</w:t>
      </w:r>
    </w:p>
    <w:p w14:paraId="72B8DFFD">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6.乙方应拥有足够的人力、财力、物力和专业技术能力等资源保证按时按质按量完成委托业务。</w:t>
      </w:r>
    </w:p>
    <w:p w14:paraId="30EE75AB">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7.乙方应对自身安全负责，并给项目人员提供相应的保险保障。</w:t>
      </w:r>
    </w:p>
    <w:p w14:paraId="04323CD0">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8.乙方应有健全的组织机构和内部管理制度，有完善的质量保证体系和安全管理制度。定期对人员进行相关文物、考古知识及安全生产、治污减霾相关培训。</w:t>
      </w:r>
    </w:p>
    <w:p w14:paraId="78EB24E6">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9.如被确认中标，则乙方于响应文件中承诺配备的人员必须配备到位，若需更换人员应先征得甲方同意，且替换的人员不低于被替换的人员的资质等级及工作能力。</w:t>
      </w:r>
    </w:p>
    <w:p w14:paraId="56A8632B">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10.乙方应独立完成工作任务，不得以任何形式将工作任务再委托其他个人和机构。</w:t>
      </w:r>
    </w:p>
    <w:p w14:paraId="19528E23">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11.发掘过程中，乙方应采取合理措施，确保文物的安全。</w:t>
      </w:r>
    </w:p>
    <w:p w14:paraId="5DFE9307">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12.发掘工作结束后，乙方须将场地回填至自然场坪。</w:t>
      </w:r>
    </w:p>
    <w:p w14:paraId="31EE2C2C">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13.乙方在发掘过程中需要有处理应急情况的能力并保证对本项目的全过程工作进行保密。</w:t>
      </w:r>
    </w:p>
    <w:p w14:paraId="34421A9D">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14.乙方需配合技术单位进行遗迹的发掘、清理，发掘过程中的支护加固，发掘现场的安保、临时库房看护，发掘过程中若有必要，按技术单位的要求搭设钢结构防护棚、罩。</w:t>
      </w:r>
    </w:p>
    <w:p w14:paraId="30239654">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（二）安全要求</w:t>
      </w:r>
    </w:p>
    <w:p w14:paraId="215CD473">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1.乙方应对自身安全负责，要遵守国家的相关安全规定。乙方应严格执行《考古工地安全协议》的相关要求，遵守考古工地的安全规定，确保考古工地的施工安全、人员安全和文物安全。</w:t>
      </w:r>
    </w:p>
    <w:p w14:paraId="741C5E39">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14:paraId="02B25350">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3.乙方在考古发掘工作中对发现的古遗址、古墓葬等地下文物古迹负有看管保护的责任，并对相关信息负有保密的责任。</w:t>
      </w:r>
    </w:p>
    <w:p w14:paraId="141B5B10">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发掘前，乙方负责完善工作人员办公用房及暂存文物标本的文物库房等购置。考古驻地的所有工作人员、财物、设备、设施以及暂存文物标本的文物库房、办公用房等安全保卫工作由乙方全权负责。驻地暂存文物和标本的临时文物库房，必须符合有关存放文物的安全要求。</w:t>
      </w:r>
    </w:p>
    <w:p w14:paraId="0C5D28A4">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5.发掘过程中，乙方应严格遵守国家、省、市及碑林区的治污减霾相关要求，做好此项工作。</w:t>
      </w:r>
    </w:p>
    <w:p w14:paraId="38BE81F1">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6.乙方需提供现场24小时安保人员服务，确保现场及文物存放安全。</w:t>
      </w:r>
    </w:p>
    <w:p w14:paraId="34654C80">
      <w:pPr>
        <w:keepNext w:val="0"/>
        <w:keepLines w:val="0"/>
        <w:pageBreakBefore w:val="0"/>
        <w:widowControl/>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服务费用及支付方式</w:t>
      </w:r>
      <w:bookmarkEnd w:id="21"/>
    </w:p>
    <w:p w14:paraId="31AE91F5">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1.服务费按下列比例支付价款</w:t>
      </w:r>
    </w:p>
    <w:p w14:paraId="04E537C7">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服务总费用为人民币（大写）：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243BFAF">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支付方式：1.付款条件说明：合同签订后，达到付款条件起30日内，支付合同总金额的100.00%。</w:t>
      </w:r>
      <w:bookmarkStart w:id="66" w:name="_GoBack"/>
      <w:bookmarkEnd w:id="66"/>
    </w:p>
    <w:p w14:paraId="72B46FB2">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2.结算方式：银行转账</w:t>
      </w:r>
    </w:p>
    <w:p w14:paraId="090F47B6">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乙方收款账户</w:t>
      </w:r>
    </w:p>
    <w:p w14:paraId="4F68EEAF">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账户名称：                 </w:t>
      </w:r>
    </w:p>
    <w:p w14:paraId="62202894">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开户银行：                  </w:t>
      </w:r>
    </w:p>
    <w:p w14:paraId="1082492C">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银行账号：</w:t>
      </w:r>
      <w:r>
        <w:rPr>
          <w:rFonts w:hint="eastAsia" w:ascii="宋体" w:hAnsi="宋体" w:eastAsia="宋体" w:cs="宋体"/>
          <w:color w:val="auto"/>
          <w:sz w:val="21"/>
          <w:szCs w:val="21"/>
          <w:highlight w:val="none"/>
          <w:lang w:val="en-US" w:eastAsia="zh-CN"/>
        </w:rPr>
        <w:t xml:space="preserve">                  </w:t>
      </w:r>
    </w:p>
    <w:p w14:paraId="5194B15D">
      <w:pPr>
        <w:keepNext w:val="0"/>
        <w:keepLines w:val="0"/>
        <w:pageBreakBefore w:val="0"/>
        <w:kinsoku/>
        <w:wordWrap/>
        <w:overflowPunct/>
        <w:topLinePunct w:val="0"/>
        <w:autoSpaceDE/>
        <w:autoSpaceDN/>
        <w:bidi w:val="0"/>
        <w:spacing w:line="360" w:lineRule="auto"/>
        <w:ind w:firstLine="422" w:firstLineChars="200"/>
        <w:outlineLvl w:val="1"/>
        <w:rPr>
          <w:rFonts w:hint="eastAsia" w:ascii="宋体" w:hAnsi="宋体" w:eastAsia="宋体" w:cs="宋体"/>
          <w:b/>
          <w:color w:val="auto"/>
          <w:sz w:val="21"/>
          <w:szCs w:val="21"/>
          <w:highlight w:val="none"/>
        </w:rPr>
      </w:pPr>
      <w:bookmarkStart w:id="22" w:name="_Toc22959"/>
      <w:r>
        <w:rPr>
          <w:rFonts w:hint="eastAsia" w:ascii="宋体" w:hAnsi="宋体" w:eastAsia="宋体" w:cs="宋体"/>
          <w:b/>
          <w:color w:val="auto"/>
          <w:sz w:val="21"/>
          <w:szCs w:val="21"/>
          <w:highlight w:val="none"/>
        </w:rPr>
        <w:t>第五条  知识产权（若有）</w:t>
      </w:r>
      <w:bookmarkEnd w:id="22"/>
    </w:p>
    <w:p w14:paraId="051C9042">
      <w:pPr>
        <w:keepNext w:val="0"/>
        <w:keepLines w:val="0"/>
        <w:pageBreakBefore w:val="0"/>
        <w:tabs>
          <w:tab w:val="left" w:pos="144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乙方应保证所提供的服务或其任何一部分均不会侵犯任何第三方的专利权、商标权或著作权。</w:t>
      </w:r>
    </w:p>
    <w:p w14:paraId="4F64E853">
      <w:pPr>
        <w:keepNext w:val="0"/>
        <w:keepLines w:val="0"/>
        <w:pageBreakBefore w:val="0"/>
        <w:kinsoku/>
        <w:wordWrap/>
        <w:overflowPunct/>
        <w:topLinePunct w:val="0"/>
        <w:autoSpaceDE/>
        <w:autoSpaceDN/>
        <w:bidi w:val="0"/>
        <w:spacing w:line="360" w:lineRule="auto"/>
        <w:ind w:firstLine="422" w:firstLineChars="200"/>
        <w:outlineLvl w:val="1"/>
        <w:rPr>
          <w:rFonts w:hint="eastAsia" w:ascii="宋体" w:hAnsi="宋体" w:eastAsia="宋体" w:cs="宋体"/>
          <w:b/>
          <w:color w:val="auto"/>
          <w:sz w:val="21"/>
          <w:szCs w:val="21"/>
          <w:highlight w:val="none"/>
        </w:rPr>
      </w:pPr>
      <w:bookmarkStart w:id="23" w:name="_Toc31647"/>
      <w:r>
        <w:rPr>
          <w:rFonts w:hint="eastAsia" w:ascii="宋体" w:hAnsi="宋体" w:eastAsia="宋体" w:cs="宋体"/>
          <w:b/>
          <w:color w:val="auto"/>
          <w:sz w:val="21"/>
          <w:szCs w:val="21"/>
          <w:highlight w:val="none"/>
        </w:rPr>
        <w:t>第六条  无产权瑕疵条款（如有）</w:t>
      </w:r>
      <w:bookmarkEnd w:id="23"/>
    </w:p>
    <w:p w14:paraId="4134BDDB">
      <w:pPr>
        <w:keepNext w:val="0"/>
        <w:keepLines w:val="0"/>
        <w:pageBreakBefore w:val="0"/>
        <w:tabs>
          <w:tab w:val="left" w:pos="144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乙方保证所提供的服务的所有权完全属于乙方且无任何抵押、查封等产权瑕疵。如有产权瑕疵的，视为乙方违约。乙方应负担由此而产生的一切损失。</w:t>
      </w:r>
    </w:p>
    <w:p w14:paraId="0E8E415B">
      <w:pPr>
        <w:keepNext w:val="0"/>
        <w:keepLines w:val="0"/>
        <w:pageBreakBefore w:val="0"/>
        <w:widowControl/>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bookmarkStart w:id="24" w:name="_Toc4779"/>
      <w:r>
        <w:rPr>
          <w:rFonts w:hint="eastAsia" w:ascii="宋体" w:hAnsi="宋体" w:eastAsia="宋体" w:cs="宋体"/>
          <w:b/>
          <w:color w:val="auto"/>
          <w:sz w:val="21"/>
          <w:szCs w:val="21"/>
          <w:highlight w:val="none"/>
        </w:rPr>
        <w:t>第七条  履约保证金（如有）</w:t>
      </w:r>
      <w:bookmarkEnd w:id="24"/>
    </w:p>
    <w:p w14:paraId="28884A4B">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b/>
          <w:color w:val="auto"/>
          <w:sz w:val="21"/>
          <w:szCs w:val="21"/>
          <w:highlight w:val="none"/>
        </w:rPr>
      </w:pPr>
      <w:r>
        <w:rPr>
          <w:rFonts w:hint="eastAsia" w:ascii="宋体" w:hAnsi="宋体" w:eastAsia="宋体" w:cs="宋体"/>
          <w:color w:val="auto"/>
          <w:kern w:val="0"/>
          <w:sz w:val="21"/>
          <w:szCs w:val="21"/>
          <w:highlight w:val="none"/>
        </w:rPr>
        <w:t>1.乙方在签订本合同之前，向甲方提交履约保证金人民币</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元，</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23C7A3FB">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color w:val="auto"/>
          <w:kern w:val="0"/>
          <w:sz w:val="21"/>
          <w:szCs w:val="21"/>
          <w:highlight w:val="none"/>
        </w:rPr>
        <w:t>履约保证金的有效期为乙方承诺的服务期限。</w:t>
      </w:r>
    </w:p>
    <w:p w14:paraId="52229CAB">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3.履约保证金作为违约金的</w:t>
      </w:r>
      <w:r>
        <w:rPr>
          <w:rFonts w:hint="eastAsia" w:ascii="宋体" w:hAnsi="宋体" w:eastAsia="宋体" w:cs="宋体"/>
          <w:bCs/>
          <w:color w:val="auto"/>
          <w:sz w:val="21"/>
          <w:szCs w:val="21"/>
          <w:highlight w:val="none"/>
          <w:lang w:eastAsia="zh-CN"/>
        </w:rPr>
        <w:t>一部分</w:t>
      </w:r>
      <w:r>
        <w:rPr>
          <w:rFonts w:hint="eastAsia" w:ascii="宋体" w:hAnsi="宋体" w:eastAsia="宋体" w:cs="宋体"/>
          <w:bCs/>
          <w:color w:val="auto"/>
          <w:sz w:val="21"/>
          <w:szCs w:val="21"/>
          <w:highlight w:val="none"/>
        </w:rPr>
        <w:t>用于补偿甲方因乙方不能履行合同义务而蒙受的损失。</w:t>
      </w:r>
    </w:p>
    <w:p w14:paraId="0B6CA556">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sz w:val="21"/>
          <w:szCs w:val="21"/>
          <w:highlight w:val="none"/>
        </w:rPr>
        <w:t>服务期限结束后，甲方财务部门接到甲方确认本合同服务等约定事项已经履行完毕的正式书面文件后的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日内，向乙方退还履约保证金。</w:t>
      </w:r>
    </w:p>
    <w:p w14:paraId="263F5E03">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7449A8C">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25" w:name="_Toc16162"/>
      <w:r>
        <w:rPr>
          <w:rFonts w:hint="eastAsia" w:ascii="宋体" w:hAnsi="宋体" w:eastAsia="宋体" w:cs="宋体"/>
          <w:b/>
          <w:color w:val="auto"/>
          <w:sz w:val="21"/>
          <w:szCs w:val="21"/>
          <w:highlight w:val="none"/>
        </w:rPr>
        <w:t>第八条  甲方的权利和义务</w:t>
      </w:r>
      <w:bookmarkEnd w:id="25"/>
    </w:p>
    <w:p w14:paraId="42E3CC4A">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F34C0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2.负责检查监督乙方管理工作的实施及制度的执行情况。</w:t>
      </w:r>
    </w:p>
    <w:p w14:paraId="6B019EC4">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3.根据本合同规定，按时向乙方支付应付服务费用。</w:t>
      </w:r>
    </w:p>
    <w:p w14:paraId="24B9950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4.甲方应按本合同约定支付费用，不得无故拖延或拒绝付款。</w:t>
      </w:r>
    </w:p>
    <w:p w14:paraId="29454AE5">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.国家</w:t>
      </w:r>
      <w:r>
        <w:rPr>
          <w:rFonts w:hint="eastAsia" w:ascii="宋体" w:hAnsi="宋体" w:eastAsia="宋体" w:cs="宋体"/>
          <w:bCs/>
          <w:color w:val="auto"/>
          <w:sz w:val="21"/>
          <w:szCs w:val="21"/>
          <w:highlight w:val="none"/>
          <w:lang w:eastAsia="zh-CN"/>
        </w:rPr>
        <w:t>法律法规</w:t>
      </w:r>
      <w:r>
        <w:rPr>
          <w:rFonts w:hint="eastAsia" w:ascii="宋体" w:hAnsi="宋体" w:eastAsia="宋体" w:cs="宋体"/>
          <w:bCs/>
          <w:color w:val="auto"/>
          <w:sz w:val="21"/>
          <w:szCs w:val="21"/>
          <w:highlight w:val="none"/>
        </w:rPr>
        <w:t>所规定由甲方承担的</w:t>
      </w:r>
      <w:r>
        <w:rPr>
          <w:rFonts w:hint="eastAsia" w:ascii="宋体" w:hAnsi="宋体" w:eastAsia="宋体" w:cs="宋体"/>
          <w:bCs/>
          <w:color w:val="auto"/>
          <w:sz w:val="21"/>
          <w:szCs w:val="21"/>
          <w:highlight w:val="none"/>
          <w:lang w:eastAsia="zh-CN"/>
        </w:rPr>
        <w:t>其他</w:t>
      </w:r>
      <w:r>
        <w:rPr>
          <w:rFonts w:hint="eastAsia" w:ascii="宋体" w:hAnsi="宋体" w:eastAsia="宋体" w:cs="宋体"/>
          <w:bCs/>
          <w:color w:val="auto"/>
          <w:sz w:val="21"/>
          <w:szCs w:val="21"/>
          <w:highlight w:val="none"/>
        </w:rPr>
        <w:t>责任。</w:t>
      </w:r>
      <w:r>
        <w:rPr>
          <w:rFonts w:hint="eastAsia" w:ascii="宋体" w:hAnsi="宋体" w:eastAsia="宋体" w:cs="宋体"/>
          <w:bCs/>
          <w:color w:val="auto"/>
          <w:sz w:val="21"/>
          <w:szCs w:val="21"/>
          <w:highlight w:val="none"/>
          <w:lang w:val="en-US" w:eastAsia="zh-CN"/>
        </w:rPr>
        <w:t xml:space="preserve">  </w:t>
      </w:r>
    </w:p>
    <w:p w14:paraId="689515C9">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26" w:name="_Toc27740"/>
      <w:r>
        <w:rPr>
          <w:rFonts w:hint="eastAsia" w:ascii="宋体" w:hAnsi="宋体" w:eastAsia="宋体" w:cs="宋体"/>
          <w:b/>
          <w:color w:val="auto"/>
          <w:sz w:val="21"/>
          <w:szCs w:val="21"/>
          <w:highlight w:val="none"/>
        </w:rPr>
        <w:t>第九条  乙方的权利和义务</w:t>
      </w:r>
      <w:bookmarkEnd w:id="26"/>
    </w:p>
    <w:p w14:paraId="70A00F48">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1.对本合同规定的委托服务范围内的项目享有管理权及服务义务。</w:t>
      </w:r>
    </w:p>
    <w:p w14:paraId="1537C14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2.根据本合同的规定向甲方收取相关服务费用，并有权在本项目管理范围内管理及合理使用。</w:t>
      </w:r>
    </w:p>
    <w:p w14:paraId="03088811">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3.及时向甲方通告本项目服务范围内有关服务的重大事项，及时配合处理投诉。</w:t>
      </w:r>
    </w:p>
    <w:p w14:paraId="24DF0155">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bCs/>
          <w:color w:val="auto"/>
          <w:sz w:val="21"/>
          <w:szCs w:val="21"/>
          <w:highlight w:val="none"/>
        </w:rPr>
        <w:t>接受项目行业管理部门及政府有关部门的指导，接受甲方的监督。</w:t>
      </w:r>
    </w:p>
    <w:p w14:paraId="65D9C188">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乙方按合同要求提供</w:t>
      </w:r>
      <w:r>
        <w:rPr>
          <w:rFonts w:hint="eastAsia" w:ascii="宋体" w:hAnsi="宋体" w:eastAsia="宋体" w:cs="宋体"/>
          <w:bCs/>
          <w:color w:val="auto"/>
          <w:sz w:val="21"/>
          <w:szCs w:val="21"/>
          <w:highlight w:val="none"/>
          <w:lang w:eastAsia="zh-CN"/>
        </w:rPr>
        <w:t>考古劳务工作</w:t>
      </w:r>
      <w:r>
        <w:rPr>
          <w:rFonts w:hint="eastAsia" w:ascii="宋体" w:hAnsi="宋体" w:eastAsia="宋体" w:cs="宋体"/>
          <w:bCs/>
          <w:color w:val="auto"/>
          <w:sz w:val="21"/>
          <w:szCs w:val="21"/>
          <w:highlight w:val="none"/>
        </w:rPr>
        <w:t>；</w:t>
      </w:r>
    </w:p>
    <w:p w14:paraId="0D67ABC4">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对产品（服务）质量问题，乙方负责处理；</w:t>
      </w:r>
    </w:p>
    <w:p w14:paraId="5ABE40F6">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乙方必须配合对项目进行共同验收，如因产品质量和系统质量问题，验收不合格，乙方应负责返修所造成的经济损失；</w:t>
      </w:r>
    </w:p>
    <w:p w14:paraId="0622DBB6">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乙方有权按照本合同收取服务费用，并有义务向甲方开具合法发票。</w:t>
      </w:r>
    </w:p>
    <w:p w14:paraId="710F8E67">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9</w:t>
      </w:r>
      <w:r>
        <w:rPr>
          <w:rFonts w:hint="eastAsia" w:ascii="宋体" w:hAnsi="宋体" w:eastAsia="宋体" w:cs="宋体"/>
          <w:bCs/>
          <w:color w:val="auto"/>
          <w:sz w:val="21"/>
          <w:szCs w:val="21"/>
          <w:highlight w:val="none"/>
        </w:rPr>
        <w:t>.国家</w:t>
      </w:r>
      <w:r>
        <w:rPr>
          <w:rFonts w:hint="eastAsia" w:ascii="宋体" w:hAnsi="宋体" w:eastAsia="宋体" w:cs="宋体"/>
          <w:bCs/>
          <w:color w:val="auto"/>
          <w:sz w:val="21"/>
          <w:szCs w:val="21"/>
          <w:highlight w:val="none"/>
          <w:lang w:eastAsia="zh-CN"/>
        </w:rPr>
        <w:t>法律法规</w:t>
      </w:r>
      <w:r>
        <w:rPr>
          <w:rFonts w:hint="eastAsia" w:ascii="宋体" w:hAnsi="宋体" w:eastAsia="宋体" w:cs="宋体"/>
          <w:bCs/>
          <w:color w:val="auto"/>
          <w:sz w:val="21"/>
          <w:szCs w:val="21"/>
          <w:highlight w:val="none"/>
        </w:rPr>
        <w:t>所规定由乙方承担的</w:t>
      </w:r>
      <w:r>
        <w:rPr>
          <w:rFonts w:hint="eastAsia" w:ascii="宋体" w:hAnsi="宋体" w:eastAsia="宋体" w:cs="宋体"/>
          <w:bCs/>
          <w:color w:val="auto"/>
          <w:sz w:val="21"/>
          <w:szCs w:val="21"/>
          <w:highlight w:val="none"/>
          <w:lang w:eastAsia="zh-CN"/>
        </w:rPr>
        <w:t>其他</w:t>
      </w:r>
      <w:r>
        <w:rPr>
          <w:rFonts w:hint="eastAsia" w:ascii="宋体" w:hAnsi="宋体" w:eastAsia="宋体" w:cs="宋体"/>
          <w:bCs/>
          <w:color w:val="auto"/>
          <w:sz w:val="21"/>
          <w:szCs w:val="21"/>
          <w:highlight w:val="none"/>
        </w:rPr>
        <w:t>责任。</w:t>
      </w:r>
    </w:p>
    <w:p w14:paraId="00EFE3CD">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27" w:name="_Toc25988"/>
      <w:r>
        <w:rPr>
          <w:rFonts w:hint="eastAsia" w:ascii="宋体" w:hAnsi="宋体" w:eastAsia="宋体" w:cs="宋体"/>
          <w:b/>
          <w:color w:val="auto"/>
          <w:sz w:val="21"/>
          <w:szCs w:val="21"/>
          <w:highlight w:val="none"/>
        </w:rPr>
        <w:t>第十条  违约责任</w:t>
      </w:r>
      <w:bookmarkEnd w:id="27"/>
    </w:p>
    <w:p w14:paraId="0C04ECB9">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bookmarkStart w:id="28" w:name="_Toc26448"/>
      <w:r>
        <w:rPr>
          <w:rFonts w:hint="eastAsia" w:ascii="宋体" w:hAnsi="宋体" w:eastAsia="宋体" w:cs="宋体"/>
          <w:bCs/>
          <w:color w:val="auto"/>
          <w:sz w:val="21"/>
          <w:szCs w:val="21"/>
          <w:highlight w:val="none"/>
          <w:lang w:val="en-US" w:eastAsia="zh-CN"/>
        </w:rPr>
        <w:t>由于一方的过错造成本合同不能履行或不能完全履行时，由过错方承担下列违约责任：</w:t>
      </w:r>
    </w:p>
    <w:p w14:paraId="144D5AA1">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1.继续履行合同。</w:t>
      </w:r>
    </w:p>
    <w:p w14:paraId="5CF5990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2.向守约方支付违约金，违约金的支付方法为：</w:t>
      </w:r>
    </w:p>
    <w:p w14:paraId="51641F96">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（1）乙方逾期完成工作成果的，每逾期一日，乙方向甲方支付违约金</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lang w:val="en-US" w:eastAsia="zh-CN"/>
        </w:rPr>
        <w:t>元，逾期超过30日，甲方有权解除合同，乙方应一次性向甲方支付合同总价款</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lang w:val="en-US" w:eastAsia="zh-CN"/>
        </w:rPr>
        <w:t>违约金，违约金不足以弥补甲方损失的，乙方应予以补足。</w:t>
      </w:r>
    </w:p>
    <w:p w14:paraId="61066F9D">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（2）违约造成对方损失的，应赔偿守约方的损失</w:t>
      </w:r>
    </w:p>
    <w:p w14:paraId="2BF2FF4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第十一条  不可抗力事件处理</w:t>
      </w:r>
      <w:bookmarkEnd w:id="28"/>
    </w:p>
    <w:p w14:paraId="196CDF8A">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bookmarkStart w:id="29" w:name="_Toc237145411"/>
      <w:bookmarkStart w:id="30" w:name="_Toc251768867"/>
      <w:bookmarkStart w:id="31" w:name="_Toc239568423"/>
      <w:bookmarkStart w:id="32" w:name="_Toc212019599"/>
      <w:bookmarkStart w:id="33" w:name="_Toc238984980"/>
      <w:bookmarkStart w:id="34" w:name="_Toc185395254"/>
      <w:bookmarkStart w:id="35" w:name="_Toc211911353"/>
      <w:bookmarkStart w:id="36" w:name="_Toc225244857"/>
      <w:bookmarkStart w:id="37" w:name="_Toc247334846"/>
      <w:bookmarkStart w:id="38" w:name="_Toc225654649"/>
      <w:bookmarkStart w:id="39" w:name="_Toc286993792"/>
      <w:bookmarkStart w:id="40" w:name="_Toc211854454"/>
      <w:bookmarkStart w:id="41" w:name="_Toc241833908"/>
      <w:bookmarkStart w:id="42" w:name="_Toc225670756"/>
      <w:bookmarkStart w:id="43" w:name="_Toc239233919"/>
      <w:bookmarkStart w:id="44" w:name="_Toc232492933"/>
      <w:r>
        <w:rPr>
          <w:rFonts w:hint="eastAsia" w:ascii="宋体" w:hAnsi="宋体" w:eastAsia="宋体" w:cs="宋体"/>
          <w:color w:val="auto"/>
          <w:sz w:val="21"/>
          <w:szCs w:val="21"/>
          <w:highlight w:val="none"/>
        </w:rPr>
        <w:t>1.在合同有效期内，任何一方因不可抗力事件导致不能履行合同，则合同履行期可延长，其延长期与不可抗力影响期相同。</w:t>
      </w:r>
    </w:p>
    <w:p w14:paraId="2B07A66A">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2.不可抗力事件发生后，应立即通知对方，并寄送有关权威机构出具的证明。</w:t>
      </w:r>
    </w:p>
    <w:p w14:paraId="56017948">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3.不可抗力事件延续</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天以上，双方应通过友好协商，确定是否继续履行合同。</w:t>
      </w:r>
    </w:p>
    <w:p w14:paraId="786910F6">
      <w:pPr>
        <w:keepNext w:val="0"/>
        <w:keepLines w:val="0"/>
        <w:pageBreakBefore w:val="0"/>
        <w:widowControl/>
        <w:kinsoku/>
        <w:wordWrap/>
        <w:overflowPunct/>
        <w:topLinePunct w:val="0"/>
        <w:autoSpaceDE/>
        <w:autoSpaceDN/>
        <w:bidi w:val="0"/>
        <w:spacing w:before="120" w:beforeLines="50" w:after="120" w:afterLines="50" w:line="360" w:lineRule="auto"/>
        <w:ind w:firstLine="422" w:firstLineChars="200"/>
        <w:jc w:val="left"/>
        <w:outlineLvl w:val="1"/>
        <w:rPr>
          <w:rFonts w:hint="eastAsia" w:ascii="宋体" w:hAnsi="宋体" w:eastAsia="宋体" w:cs="宋体"/>
          <w:color w:val="auto"/>
          <w:kern w:val="0"/>
          <w:sz w:val="21"/>
          <w:szCs w:val="21"/>
          <w:highlight w:val="none"/>
        </w:rPr>
      </w:pPr>
      <w:bookmarkStart w:id="45" w:name="_Toc20448"/>
      <w:r>
        <w:rPr>
          <w:rFonts w:hint="eastAsia" w:ascii="宋体" w:hAnsi="宋体" w:eastAsia="宋体" w:cs="宋体"/>
          <w:b/>
          <w:color w:val="auto"/>
          <w:sz w:val="21"/>
          <w:szCs w:val="21"/>
          <w:highlight w:val="none"/>
        </w:rPr>
        <w:t xml:space="preserve">第十二条  </w:t>
      </w:r>
      <w:r>
        <w:rPr>
          <w:rFonts w:hint="eastAsia" w:ascii="宋体" w:hAnsi="宋体" w:eastAsia="宋体" w:cs="宋体"/>
          <w:b/>
          <w:color w:val="auto"/>
          <w:kern w:val="0"/>
          <w:sz w:val="21"/>
          <w:szCs w:val="21"/>
          <w:highlight w:val="none"/>
        </w:rPr>
        <w:t>合同的变更和终止</w:t>
      </w:r>
      <w:bookmarkEnd w:id="45"/>
    </w:p>
    <w:p w14:paraId="34969DEA">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除《中华人民共和国政府采购法》第49条、第50条第二款规定的情形外，本合同一经签订，甲乙双方不得擅自变更、中止或终止合同。</w:t>
      </w:r>
    </w:p>
    <w:p w14:paraId="2D722CCF">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46" w:name="_Toc32004"/>
      <w:r>
        <w:rPr>
          <w:rFonts w:hint="eastAsia" w:ascii="宋体" w:hAnsi="宋体" w:eastAsia="宋体" w:cs="宋体"/>
          <w:b/>
          <w:color w:val="auto"/>
          <w:sz w:val="21"/>
          <w:szCs w:val="21"/>
          <w:highlight w:val="none"/>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E271BA4">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在执行本合同中发生的或与本合同有关的争端，双方应通过友好协商解决，经协商在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天内不能达成协议时，</w:t>
      </w:r>
      <w:r>
        <w:rPr>
          <w:rFonts w:hint="eastAsia" w:ascii="宋体" w:hAnsi="宋体" w:eastAsia="宋体" w:cs="宋体"/>
          <w:color w:val="auto"/>
          <w:kern w:val="0"/>
          <w:sz w:val="21"/>
          <w:szCs w:val="21"/>
          <w:highlight w:val="none"/>
        </w:rPr>
        <w:t>则采取以下第</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2</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种方式解决争议：</w:t>
      </w:r>
    </w:p>
    <w:p w14:paraId="131BE6A8">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（1）向甲方所在地有管辖权的人民法院提起诉讼；</w:t>
      </w:r>
    </w:p>
    <w:p w14:paraId="553F0E5E">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（2）向</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eastAsia="zh-CN"/>
        </w:rPr>
        <w:t>西安</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仲裁委员会按其仲裁规则申请仲裁。</w:t>
      </w:r>
    </w:p>
    <w:p w14:paraId="6EEE5A6F">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rPr>
        <w:t>在仲裁期间，本合同应继续履行。</w:t>
      </w:r>
    </w:p>
    <w:p w14:paraId="35D5A2C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47" w:name="_Toc239568424"/>
      <w:bookmarkStart w:id="48" w:name="_Toc185395255"/>
      <w:bookmarkStart w:id="49" w:name="_Toc286993793"/>
      <w:bookmarkStart w:id="50" w:name="_Toc283019219"/>
      <w:bookmarkStart w:id="51" w:name="_Toc211854455"/>
      <w:bookmarkStart w:id="52" w:name="_Toc225244858"/>
      <w:bookmarkStart w:id="53" w:name="_Toc232492934"/>
      <w:bookmarkStart w:id="54" w:name="_Toc225670757"/>
      <w:bookmarkStart w:id="55" w:name="_Toc239233920"/>
      <w:bookmarkStart w:id="56" w:name="_Toc238984981"/>
      <w:bookmarkStart w:id="57" w:name="_Toc237145412"/>
      <w:bookmarkStart w:id="58" w:name="_Toc282696231"/>
      <w:bookmarkStart w:id="59" w:name="_Toc247334847"/>
      <w:bookmarkStart w:id="60" w:name="_Toc241833909"/>
      <w:bookmarkStart w:id="61" w:name="_Toc212019600"/>
      <w:bookmarkStart w:id="62" w:name="_Toc211911354"/>
      <w:bookmarkStart w:id="63" w:name="_Toc225654650"/>
      <w:bookmarkStart w:id="64" w:name="_Toc251768868"/>
      <w:bookmarkStart w:id="65" w:name="_Toc28433"/>
      <w:r>
        <w:rPr>
          <w:rFonts w:hint="eastAsia" w:ascii="宋体" w:hAnsi="宋体" w:eastAsia="宋体" w:cs="宋体"/>
          <w:b/>
          <w:color w:val="auto"/>
          <w:sz w:val="21"/>
          <w:szCs w:val="21"/>
          <w:highlight w:val="none"/>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color w:val="auto"/>
          <w:sz w:val="21"/>
          <w:szCs w:val="21"/>
          <w:highlight w:val="none"/>
        </w:rPr>
        <w:t>生效及其他</w:t>
      </w:r>
      <w:bookmarkEnd w:id="65"/>
    </w:p>
    <w:p w14:paraId="10EE08AC">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合同经双方法定代表人（单位负责人）或授权委托代理人签字并加盖单位公章并由采购代理机构盖章后生效。</w:t>
      </w:r>
    </w:p>
    <w:p w14:paraId="77B73996">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合同执行中涉及采购资金和采购内容修改或补充的，须经政府采购监管部门审批，并签</w:t>
      </w:r>
      <w:r>
        <w:rPr>
          <w:rFonts w:hint="eastAsia" w:ascii="宋体" w:hAnsi="宋体" w:eastAsia="宋体" w:cs="宋体"/>
          <w:color w:val="auto"/>
          <w:sz w:val="21"/>
          <w:szCs w:val="21"/>
          <w:highlight w:val="none"/>
          <w:lang w:eastAsia="zh-CN"/>
        </w:rPr>
        <w:t>订</w:t>
      </w:r>
      <w:r>
        <w:rPr>
          <w:rFonts w:hint="eastAsia" w:ascii="宋体" w:hAnsi="宋体" w:eastAsia="宋体" w:cs="宋体"/>
          <w:color w:val="auto"/>
          <w:sz w:val="21"/>
          <w:szCs w:val="21"/>
          <w:highlight w:val="none"/>
        </w:rPr>
        <w:t>书面补充协议报政府采购监督管理部门备案，方可作为主合同不可分割的一部分。</w:t>
      </w:r>
    </w:p>
    <w:p w14:paraId="4A2096E4">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份，自双方签章之日起</w:t>
      </w:r>
      <w:r>
        <w:rPr>
          <w:rFonts w:hint="eastAsia" w:ascii="宋体" w:hAnsi="宋体" w:eastAsia="宋体" w:cs="宋体"/>
          <w:color w:val="auto"/>
          <w:sz w:val="21"/>
          <w:szCs w:val="21"/>
          <w:highlight w:val="none"/>
          <w:lang w:eastAsia="zh-CN"/>
        </w:rPr>
        <w:t>生</w:t>
      </w:r>
      <w:r>
        <w:rPr>
          <w:rFonts w:hint="eastAsia" w:ascii="宋体" w:hAnsi="宋体" w:eastAsia="宋体" w:cs="宋体"/>
          <w:color w:val="auto"/>
          <w:sz w:val="21"/>
          <w:szCs w:val="21"/>
          <w:highlight w:val="none"/>
        </w:rPr>
        <w:t>效。甲方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份，乙方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份，具有同等法律效力。</w:t>
      </w:r>
    </w:p>
    <w:p w14:paraId="6F2F664F">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第十五条 附件</w:t>
      </w:r>
    </w:p>
    <w:p w14:paraId="6C3AA64E">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项目采购文件</w:t>
      </w:r>
      <w:r>
        <w:rPr>
          <w:rFonts w:hint="eastAsia" w:ascii="宋体" w:hAnsi="宋体" w:eastAsia="宋体" w:cs="宋体"/>
          <w:color w:val="auto"/>
          <w:sz w:val="21"/>
          <w:szCs w:val="21"/>
          <w:highlight w:val="none"/>
          <w:lang w:eastAsia="zh-CN"/>
        </w:rPr>
        <w:t>；</w:t>
      </w:r>
    </w:p>
    <w:p w14:paraId="2A0F03FE">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项目响应文件</w:t>
      </w:r>
      <w:r>
        <w:rPr>
          <w:rFonts w:hint="eastAsia" w:ascii="宋体" w:hAnsi="宋体" w:eastAsia="宋体" w:cs="宋体"/>
          <w:color w:val="auto"/>
          <w:sz w:val="21"/>
          <w:szCs w:val="21"/>
          <w:highlight w:val="none"/>
          <w:lang w:eastAsia="zh-CN"/>
        </w:rPr>
        <w:t>；</w:t>
      </w:r>
    </w:p>
    <w:p w14:paraId="6F90D5BF">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eastAsia="zh-CN"/>
        </w:rPr>
        <w:t>；</w:t>
      </w:r>
    </w:p>
    <w:p w14:paraId="4D7B673D">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4.附件</w:t>
      </w:r>
      <w:r>
        <w:rPr>
          <w:rFonts w:hint="eastAsia" w:ascii="宋体" w:hAnsi="宋体" w:eastAsia="宋体" w:cs="宋体"/>
          <w:b/>
          <w:bCs/>
          <w:sz w:val="21"/>
          <w:szCs w:val="21"/>
          <w:highlight w:val="none"/>
          <w:lang w:val="en-US" w:eastAsia="zh-CN"/>
        </w:rPr>
        <w:t>（1.财务状况报告；2.税收缴纳证明；3.社保资金缴纳证明；4.被授权代表的身份证复印件以及2026年1月至今任意时段在本单位注册的已缴纳的社会保障资金缴存单据或社保机构开具的社会保险参保缴费情况证明；5.中标人的业绩(业绩需与投标文件中所提供的保持一致）。</w:t>
      </w:r>
    </w:p>
    <w:p w14:paraId="4E339A8F">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其他</w:t>
      </w:r>
      <w:r>
        <w:rPr>
          <w:rFonts w:hint="eastAsia" w:ascii="宋体" w:hAnsi="宋体" w:eastAsia="宋体" w:cs="宋体"/>
          <w:color w:val="auto"/>
          <w:sz w:val="24"/>
          <w:szCs w:val="24"/>
          <w:highlight w:val="none"/>
          <w:lang w:eastAsia="zh-CN"/>
        </w:rPr>
        <w:t>。</w:t>
      </w:r>
    </w:p>
    <w:p w14:paraId="7225274C">
      <w:pPr>
        <w:pStyle w:val="3"/>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此页无正文</w:t>
      </w:r>
      <w:r>
        <w:rPr>
          <w:rFonts w:hint="eastAsia" w:ascii="宋体" w:hAnsi="宋体" w:eastAsia="宋体" w:cs="宋体"/>
          <w:color w:val="auto"/>
          <w:sz w:val="21"/>
          <w:szCs w:val="21"/>
          <w:highlight w:val="none"/>
          <w:lang w:eastAsia="zh-CN"/>
        </w:rPr>
        <w:t>）</w:t>
      </w:r>
    </w:p>
    <w:p w14:paraId="50B9DDA2">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（盖章）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乙方：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（盖章）</w:t>
      </w:r>
    </w:p>
    <w:p w14:paraId="6B37FA82">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法定代表人：（单位负责人）</w:t>
      </w:r>
    </w:p>
    <w:p w14:paraId="367C39DE">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地    址：</w:t>
      </w:r>
    </w:p>
    <w:p w14:paraId="41841D52">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17D6B991">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                               账号：</w:t>
      </w:r>
    </w:p>
    <w:p w14:paraId="6A5E4A59">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                           电    话：</w:t>
      </w:r>
    </w:p>
    <w:p w14:paraId="4E05C3F6">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                           传    真：</w:t>
      </w:r>
    </w:p>
    <w:p w14:paraId="093F8073">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签约日期：  年  月  日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签约日期：  年  月  日</w:t>
      </w:r>
    </w:p>
    <w:p w14:paraId="3C48614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CF06DCB">
      <w:pPr>
        <w:pageBreakBefore w:val="0"/>
        <w:overflowPunct/>
        <w:bidi w:val="0"/>
        <w:spacing w:line="360" w:lineRule="auto"/>
        <w:rPr>
          <w:rFonts w:hint="eastAsia" w:ascii="宋体" w:hAnsi="宋体" w:eastAsia="宋体" w:cs="宋体"/>
          <w:b/>
          <w:bCs/>
          <w:snapToGrid w:val="0"/>
          <w:color w:val="auto"/>
          <w:kern w:val="0"/>
          <w:sz w:val="28"/>
          <w:szCs w:val="28"/>
          <w:highlight w:val="none"/>
          <w:lang w:val="en-US" w:eastAsia="zh-CN" w:bidi="ar-SA"/>
        </w:rPr>
      </w:pPr>
      <w:r>
        <w:rPr>
          <w:rFonts w:hint="eastAsia" w:ascii="宋体" w:hAnsi="宋体" w:eastAsia="宋体" w:cs="宋体"/>
          <w:b/>
          <w:bCs/>
          <w:snapToGrid w:val="0"/>
          <w:color w:val="auto"/>
          <w:kern w:val="0"/>
          <w:sz w:val="28"/>
          <w:szCs w:val="28"/>
          <w:highlight w:val="none"/>
          <w:lang w:val="en-US" w:eastAsia="zh-CN" w:bidi="ar-SA"/>
        </w:rPr>
        <w:t>附件：检查验证相关证明材料</w:t>
      </w:r>
    </w:p>
    <w:p w14:paraId="7EC2EE1B">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highlight w:val="none"/>
        </w:rPr>
      </w:pPr>
    </w:p>
    <w:p w14:paraId="278DA42A">
      <w:pPr>
        <w:pStyle w:val="4"/>
        <w:pageBreakBefore w:val="0"/>
        <w:overflowPunct/>
        <w:bidi w:val="0"/>
        <w:adjustRightInd w:val="0"/>
        <w:snapToGrid w:val="0"/>
        <w:spacing w:line="360" w:lineRule="auto"/>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w:t>
      </w:r>
      <w:r>
        <w:rPr>
          <w:rFonts w:hint="eastAsia" w:ascii="宋体" w:hAnsi="宋体" w:eastAsia="宋体" w:cs="宋体"/>
          <w:b/>
          <w:bCs/>
          <w:color w:val="auto"/>
          <w:sz w:val="28"/>
          <w:szCs w:val="28"/>
          <w:highlight w:val="none"/>
        </w:rPr>
        <w:t>.财务状况报告</w:t>
      </w:r>
    </w:p>
    <w:p w14:paraId="1C666E61">
      <w:pPr>
        <w:pStyle w:val="4"/>
        <w:adjustRightInd w:val="0"/>
        <w:snapToGrid w:val="0"/>
        <w:spacing w:line="360" w:lineRule="auto"/>
        <w:ind w:firstLine="422" w:firstLineChars="20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说明：</w:t>
      </w:r>
    </w:p>
    <w:p w14:paraId="5EED9416">
      <w:pPr>
        <w:pStyle w:val="4"/>
        <w:adjustRightInd w:val="0"/>
        <w:snapToGrid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000000"/>
          <w:szCs w:val="21"/>
          <w:highlight w:val="none"/>
        </w:rPr>
        <w:t>提供</w:t>
      </w:r>
      <w:r>
        <w:rPr>
          <w:rFonts w:hint="eastAsia" w:ascii="宋体" w:hAnsi="宋体" w:eastAsia="宋体" w:cs="宋体"/>
          <w:color w:val="000000"/>
          <w:szCs w:val="21"/>
          <w:highlight w:val="none"/>
          <w:lang w:eastAsia="zh-CN"/>
        </w:rPr>
        <w:t>202</w:t>
      </w:r>
      <w:r>
        <w:rPr>
          <w:rFonts w:hint="eastAsia" w:ascii="宋体" w:hAnsi="宋体" w:eastAsia="宋体" w:cs="宋体"/>
          <w:color w:val="000000"/>
          <w:szCs w:val="21"/>
          <w:highlight w:val="none"/>
          <w:lang w:val="en-US" w:eastAsia="zh-CN"/>
        </w:rPr>
        <w:t>4或2025</w:t>
      </w:r>
      <w:r>
        <w:rPr>
          <w:rFonts w:hint="eastAsia" w:ascii="宋体" w:hAnsi="宋体" w:eastAsia="宋体" w:cs="宋体"/>
          <w:color w:val="000000"/>
          <w:szCs w:val="21"/>
          <w:highlight w:val="none"/>
          <w:lang w:eastAsia="zh-CN"/>
        </w:rPr>
        <w:t>年度</w:t>
      </w:r>
      <w:r>
        <w:rPr>
          <w:rFonts w:hint="eastAsia" w:ascii="宋体" w:hAnsi="宋体" w:eastAsia="宋体" w:cs="宋体"/>
          <w:color w:val="000000"/>
          <w:szCs w:val="21"/>
          <w:highlight w:val="none"/>
        </w:rPr>
        <w:t>经审计的财务会计报告或其提交响应文件截止时间前3个月内</w:t>
      </w:r>
      <w:r>
        <w:rPr>
          <w:rFonts w:hint="eastAsia" w:ascii="宋体" w:hAnsi="宋体" w:eastAsia="宋体" w:cs="宋体"/>
          <w:color w:val="000000"/>
          <w:highlight w:val="none"/>
        </w:rPr>
        <w:t>银行出具的资信证明</w:t>
      </w:r>
      <w:r>
        <w:rPr>
          <w:rFonts w:hint="eastAsia" w:ascii="宋体" w:hAnsi="宋体" w:eastAsia="宋体" w:cs="宋体"/>
          <w:color w:val="000000"/>
          <w:szCs w:val="21"/>
          <w:highlight w:val="none"/>
          <w:lang w:eastAsia="zh-Hans"/>
        </w:rPr>
        <w:t>。</w:t>
      </w:r>
      <w:r>
        <w:rPr>
          <w:rFonts w:hint="eastAsia" w:ascii="宋体" w:hAnsi="宋体" w:eastAsia="宋体" w:cs="宋体"/>
          <w:color w:val="auto"/>
          <w:highlight w:val="none"/>
          <w:lang w:eastAsia="zh-CN"/>
        </w:rPr>
        <w:t>（以上两种形式的资料提供任何一种即可）</w:t>
      </w:r>
    </w:p>
    <w:p w14:paraId="3E0F5A3A">
      <w:pPr>
        <w:pStyle w:val="4"/>
        <w:adjustRightInd w:val="0"/>
        <w:snapToGrid w:val="0"/>
        <w:spacing w:line="360" w:lineRule="auto"/>
        <w:ind w:firstLine="422" w:firstLineChars="20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要求：</w:t>
      </w:r>
    </w:p>
    <w:p w14:paraId="62481A7F">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（1）</w:t>
      </w:r>
      <w:r>
        <w:rPr>
          <w:rFonts w:hint="eastAsia" w:ascii="宋体" w:hAnsi="宋体" w:eastAsia="宋体" w:cs="宋体"/>
          <w:snapToGrid w:val="0"/>
          <w:color w:val="000000"/>
          <w:kern w:val="0"/>
          <w:sz w:val="21"/>
          <w:szCs w:val="21"/>
          <w:highlight w:val="none"/>
          <w:lang w:val="en-US" w:eastAsia="zh-CN" w:bidi="ar-SA"/>
        </w:rPr>
        <w:t>投标人</w:t>
      </w:r>
      <w:r>
        <w:rPr>
          <w:rFonts w:hint="eastAsia" w:ascii="宋体" w:hAnsi="宋体" w:eastAsia="宋体" w:cs="宋体"/>
          <w:snapToGrid w:val="0"/>
          <w:color w:val="000000"/>
          <w:kern w:val="0"/>
          <w:sz w:val="21"/>
          <w:szCs w:val="21"/>
          <w:highlight w:val="none"/>
          <w:lang w:val="en-US" w:eastAsia="en-US" w:bidi="ar-SA"/>
        </w:rPr>
        <w:t>是企业法人的，应提供2024</w:t>
      </w:r>
      <w:r>
        <w:rPr>
          <w:rFonts w:hint="eastAsia" w:ascii="宋体" w:hAnsi="宋体" w:eastAsia="宋体" w:cs="宋体"/>
          <w:color w:val="000000"/>
          <w:szCs w:val="21"/>
          <w:highlight w:val="none"/>
          <w:lang w:val="en-US" w:eastAsia="zh-CN"/>
        </w:rPr>
        <w:t>或2025</w:t>
      </w:r>
      <w:r>
        <w:rPr>
          <w:rFonts w:hint="eastAsia" w:ascii="宋体" w:hAnsi="宋体" w:eastAsia="宋体" w:cs="宋体"/>
          <w:snapToGrid w:val="0"/>
          <w:color w:val="000000"/>
          <w:kern w:val="0"/>
          <w:sz w:val="21"/>
          <w:szCs w:val="21"/>
          <w:highlight w:val="none"/>
          <w:lang w:val="en-US" w:eastAsia="en-US" w:bidi="ar-SA"/>
        </w:rPr>
        <w:t>全年度经审计的财务报告，包括 “四表一注”即《资产负债表》《利润表》《现金流量表》《所有者权益变动表》及其附注，或者提交响应文件截止时间前3个月内其基本账户开户银行出具的资信证明（附基本存款账户信息）；</w:t>
      </w:r>
    </w:p>
    <w:p w14:paraId="0A07FE76">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（2）</w:t>
      </w:r>
      <w:r>
        <w:rPr>
          <w:rFonts w:hint="eastAsia" w:ascii="宋体" w:hAnsi="宋体" w:eastAsia="宋体" w:cs="宋体"/>
          <w:snapToGrid w:val="0"/>
          <w:color w:val="000000"/>
          <w:kern w:val="0"/>
          <w:sz w:val="21"/>
          <w:szCs w:val="21"/>
          <w:highlight w:val="none"/>
          <w:lang w:val="en-US" w:eastAsia="zh-CN" w:bidi="ar-SA"/>
        </w:rPr>
        <w:t>投标人</w:t>
      </w:r>
      <w:r>
        <w:rPr>
          <w:rFonts w:hint="eastAsia" w:ascii="宋体" w:hAnsi="宋体" w:eastAsia="宋体" w:cs="宋体"/>
          <w:snapToGrid w:val="0"/>
          <w:color w:val="000000"/>
          <w:kern w:val="0"/>
          <w:sz w:val="21"/>
          <w:szCs w:val="21"/>
          <w:highlight w:val="none"/>
          <w:lang w:val="en-US" w:eastAsia="en-US" w:bidi="ar-SA"/>
        </w:rPr>
        <w:t>是执行《小企业会计准则》的小微企业的，应提供2024</w:t>
      </w:r>
      <w:r>
        <w:rPr>
          <w:rFonts w:hint="eastAsia" w:ascii="宋体" w:hAnsi="宋体" w:eastAsia="宋体" w:cs="宋体"/>
          <w:color w:val="000000"/>
          <w:szCs w:val="21"/>
          <w:highlight w:val="none"/>
          <w:lang w:val="en-US" w:eastAsia="zh-CN"/>
        </w:rPr>
        <w:t>或2025</w:t>
      </w:r>
      <w:r>
        <w:rPr>
          <w:rFonts w:hint="eastAsia" w:ascii="宋体" w:hAnsi="宋体" w:eastAsia="宋体" w:cs="宋体"/>
          <w:snapToGrid w:val="0"/>
          <w:color w:val="000000"/>
          <w:kern w:val="0"/>
          <w:sz w:val="21"/>
          <w:szCs w:val="21"/>
          <w:highlight w:val="none"/>
          <w:lang w:val="en-US" w:eastAsia="en-US" w:bidi="ar-SA"/>
        </w:rPr>
        <w:t>全年度经审计的财务报告，至少包括《资产负债表》《利润表》《现金流量表》及其附注，或者提交响应文件截止时间前3个月内其基本账户开户银行出具的资信证明（附基本存款账户信息）；</w:t>
      </w:r>
    </w:p>
    <w:p w14:paraId="186A2C4F">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（3）公益类事业单位无需提供；</w:t>
      </w:r>
    </w:p>
    <w:p w14:paraId="587635D7">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（4）部分其他组织和自然人，提供提交响应文件截止时间前3个月内银行出具的资信证明（附账户信息）；</w:t>
      </w:r>
    </w:p>
    <w:p w14:paraId="4AB5B148">
      <w:pPr>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1"/>
          <w:szCs w:val="21"/>
          <w:highlight w:val="none"/>
          <w:lang w:val="en-US" w:eastAsia="en-US" w:bidi="ar-SA"/>
        </w:rPr>
        <w:t>（5）</w:t>
      </w:r>
      <w:r>
        <w:rPr>
          <w:rFonts w:hint="eastAsia" w:ascii="宋体" w:hAnsi="宋体" w:eastAsia="宋体" w:cs="宋体"/>
          <w:snapToGrid w:val="0"/>
          <w:color w:val="000000"/>
          <w:kern w:val="0"/>
          <w:sz w:val="21"/>
          <w:szCs w:val="21"/>
          <w:highlight w:val="none"/>
          <w:lang w:val="en-US" w:eastAsia="zh-CN" w:bidi="ar-SA"/>
        </w:rPr>
        <w:t>投标人</w:t>
      </w:r>
      <w:r>
        <w:rPr>
          <w:rFonts w:hint="eastAsia" w:ascii="宋体" w:hAnsi="宋体" w:eastAsia="宋体" w:cs="宋体"/>
          <w:snapToGrid w:val="0"/>
          <w:color w:val="000000"/>
          <w:kern w:val="0"/>
          <w:sz w:val="21"/>
          <w:szCs w:val="21"/>
          <w:highlight w:val="none"/>
          <w:lang w:val="en-US" w:eastAsia="en-US" w:bidi="ar-SA"/>
        </w:rPr>
        <w:t>成立不到1年（至提交响应文件截止时间）的，提供成立后任意时段的资产负债表，或提交响应文件截止时间前3个月内其基本账户开户银行出具的资信证明（附基本存款账户信息）；</w:t>
      </w:r>
      <w:r>
        <w:rPr>
          <w:rFonts w:hint="eastAsia" w:ascii="Times New Roman" w:hAnsi="Times New Roman" w:eastAsia="Arial" w:cs="Times New Roman"/>
          <w:snapToGrid w:val="0"/>
          <w:color w:val="000000"/>
          <w:kern w:val="0"/>
          <w:sz w:val="21"/>
          <w:szCs w:val="21"/>
          <w:highlight w:val="none"/>
          <w:lang w:val="en-US" w:eastAsia="en-US" w:bidi="ar-SA"/>
        </w:rPr>
        <w:br w:type="page"/>
      </w:r>
    </w:p>
    <w:p w14:paraId="5E3A4E8F">
      <w:pPr>
        <w:pStyle w:val="4"/>
        <w:adjustRightInd w:val="0"/>
        <w:snapToGrid w:val="0"/>
        <w:spacing w:line="360" w:lineRule="auto"/>
        <w:jc w:val="center"/>
        <w:rPr>
          <w:rFonts w:hint="eastAsia" w:ascii="黑体" w:eastAsia="黑体"/>
          <w:color w:val="auto"/>
          <w:sz w:val="36"/>
          <w:szCs w:val="36"/>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.税收缴纳证明</w:t>
      </w:r>
    </w:p>
    <w:p w14:paraId="63A0F901">
      <w:pPr>
        <w:pStyle w:val="4"/>
        <w:adjustRightInd w:val="0"/>
        <w:snapToGrid w:val="0"/>
        <w:spacing w:line="360" w:lineRule="auto"/>
        <w:jc w:val="left"/>
        <w:rPr>
          <w:rFonts w:hint="eastAsia"/>
          <w:color w:val="auto"/>
          <w:sz w:val="24"/>
          <w:szCs w:val="24"/>
          <w:highlight w:val="none"/>
        </w:rPr>
      </w:pPr>
    </w:p>
    <w:p w14:paraId="04A3A0BF">
      <w:pPr>
        <w:pStyle w:val="4"/>
        <w:adjustRightInd w:val="0"/>
        <w:snapToGrid w:val="0"/>
        <w:spacing w:line="360" w:lineRule="auto"/>
        <w:ind w:firstLine="422" w:firstLineChars="200"/>
        <w:rPr>
          <w:rFonts w:hint="eastAsia" w:hAnsi="宋体"/>
          <w:b/>
          <w:bCs/>
          <w:color w:val="auto"/>
          <w:highlight w:val="none"/>
          <w:lang w:eastAsia="zh-CN"/>
        </w:rPr>
      </w:pPr>
      <w:r>
        <w:rPr>
          <w:rFonts w:hint="eastAsia" w:hAnsi="宋体"/>
          <w:b/>
          <w:bCs/>
          <w:color w:val="auto"/>
          <w:highlight w:val="none"/>
        </w:rPr>
        <w:t>说明</w:t>
      </w:r>
      <w:r>
        <w:rPr>
          <w:rFonts w:hint="eastAsia" w:hAnsi="宋体"/>
          <w:b/>
          <w:bCs/>
          <w:color w:val="auto"/>
          <w:highlight w:val="none"/>
          <w:lang w:eastAsia="zh-CN"/>
        </w:rPr>
        <w:t>：</w:t>
      </w:r>
    </w:p>
    <w:p w14:paraId="273DA1FC">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（1）提供投标人202</w:t>
      </w:r>
      <w:r>
        <w:rPr>
          <w:rFonts w:hint="eastAsia" w:hAnsi="宋体"/>
          <w:color w:val="auto"/>
          <w:highlight w:val="none"/>
          <w:lang w:val="en-US" w:eastAsia="zh-CN"/>
        </w:rPr>
        <w:t>6</w:t>
      </w:r>
      <w:r>
        <w:rPr>
          <w:rFonts w:hint="eastAsia" w:hAnsi="宋体"/>
          <w:color w:val="auto"/>
          <w:highlight w:val="none"/>
          <w:lang w:eastAsia="zh-CN"/>
        </w:rPr>
        <w:t>年1月至今任意时段已缴纳完税凭证或税务机关开具的完税证明（除个人所得税的任意税种；依法免税的应提供相关文件证明；</w:t>
      </w:r>
    </w:p>
    <w:p w14:paraId="7FEA10F2">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（2）依法免税的应提供相关文件证明；</w:t>
      </w:r>
    </w:p>
    <w:p w14:paraId="579287CB">
      <w:pPr>
        <w:pStyle w:val="4"/>
        <w:adjustRightInd w:val="0"/>
        <w:snapToGrid w:val="0"/>
        <w:spacing w:line="360" w:lineRule="auto"/>
        <w:ind w:firstLine="422" w:firstLineChars="200"/>
        <w:rPr>
          <w:rFonts w:hint="eastAsia" w:hAnsi="宋体"/>
          <w:b/>
          <w:bCs/>
          <w:color w:val="auto"/>
          <w:highlight w:val="none"/>
          <w:lang w:eastAsia="zh-CN"/>
        </w:rPr>
      </w:pPr>
      <w:r>
        <w:rPr>
          <w:rFonts w:hint="eastAsia" w:hAnsi="宋体"/>
          <w:b/>
          <w:bCs/>
          <w:color w:val="auto"/>
          <w:highlight w:val="none"/>
          <w:lang w:eastAsia="zh-CN"/>
        </w:rPr>
        <w:t>要求：</w:t>
      </w:r>
    </w:p>
    <w:p w14:paraId="56BC50C6">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（1）公益类事业单位无需提供；</w:t>
      </w:r>
    </w:p>
    <w:p w14:paraId="5E873648">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（2）新成立（成立时间至递交响应文件截止时间不足一年）未发生缴纳税收事项的投标人，</w:t>
      </w:r>
      <w:r>
        <w:rPr>
          <w:rFonts w:hint="eastAsia" w:hAnsi="宋体"/>
          <w:color w:val="auto"/>
          <w:highlight w:val="none"/>
        </w:rPr>
        <w:t>应提供依法缴纳税收书面承诺</w:t>
      </w:r>
      <w:r>
        <w:rPr>
          <w:rFonts w:hint="eastAsia" w:hAnsi="宋体"/>
          <w:color w:val="auto"/>
          <w:highlight w:val="none"/>
          <w:lang w:eastAsia="zh-CN"/>
        </w:rPr>
        <w:t>；</w:t>
      </w:r>
    </w:p>
    <w:p w14:paraId="0E5872D5">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（3）其他组织和自然人需提供缴纳税收的凭据；</w:t>
      </w:r>
    </w:p>
    <w:p w14:paraId="24A726BC">
      <w:pPr>
        <w:rPr>
          <w:rFonts w:hint="eastAsia" w:hAnsi="宋体"/>
          <w:color w:val="auto"/>
          <w:highlight w:val="none"/>
        </w:rPr>
      </w:pPr>
      <w:r>
        <w:rPr>
          <w:rFonts w:hint="eastAsia" w:hAnsi="宋体"/>
          <w:color w:val="auto"/>
          <w:highlight w:val="none"/>
        </w:rPr>
        <w:br w:type="page"/>
      </w:r>
    </w:p>
    <w:p w14:paraId="652B45B3">
      <w:pPr>
        <w:pStyle w:val="4"/>
        <w:pageBreakBefore w:val="0"/>
        <w:overflowPunct/>
        <w:bidi w:val="0"/>
        <w:adjustRightInd w:val="0"/>
        <w:snapToGrid w:val="0"/>
        <w:spacing w:line="360" w:lineRule="auto"/>
        <w:jc w:val="left"/>
        <w:rPr>
          <w:rFonts w:hint="eastAsia" w:ascii="宋体" w:hAnsi="宋体" w:eastAsia="宋体" w:cs="宋体"/>
          <w:color w:val="auto"/>
          <w:sz w:val="28"/>
          <w:szCs w:val="28"/>
          <w:highlight w:val="none"/>
        </w:rPr>
      </w:pPr>
    </w:p>
    <w:p w14:paraId="19076AFE">
      <w:pPr>
        <w:pStyle w:val="4"/>
        <w:pageBreakBefore w:val="0"/>
        <w:overflowPunct/>
        <w:bidi w:val="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hAnsi="宋体" w:eastAsia="宋体" w:cs="宋体"/>
          <w:b w:val="0"/>
          <w:bCs w:val="0"/>
          <w:color w:val="auto"/>
          <w:sz w:val="21"/>
          <w:szCs w:val="21"/>
          <w:highlight w:val="none"/>
          <w:lang w:val="en-US" w:eastAsia="zh-CN"/>
        </w:rPr>
        <w:t>投标人</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04DE8AAB">
      <w:pPr>
        <w:pageBreakBefore w:val="0"/>
        <w:overflowPunct/>
        <w:bidi w:val="0"/>
        <w:spacing w:line="360" w:lineRule="auto"/>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28"/>
          <w:szCs w:val="28"/>
          <w:highlight w:val="none"/>
        </w:rPr>
        <w:t>依法缴纳税收承诺书</w:t>
      </w:r>
    </w:p>
    <w:p w14:paraId="4C53E642">
      <w:pPr>
        <w:pStyle w:val="2"/>
        <w:pageBreakBefore w:val="0"/>
        <w:overflowPunct/>
        <w:bidi w:val="0"/>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E130001">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36A86D4">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7EAFBBD7">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的法律责任。</w:t>
      </w:r>
    </w:p>
    <w:p w14:paraId="56FBF918">
      <w:pPr>
        <w:pStyle w:val="2"/>
        <w:pageBreakBefore w:val="0"/>
        <w:overflowPunct/>
        <w:bidi w:val="0"/>
        <w:spacing w:line="360" w:lineRule="auto"/>
        <w:ind w:firstLine="573"/>
        <w:rPr>
          <w:rFonts w:hint="eastAsia" w:ascii="宋体" w:hAnsi="宋体" w:eastAsia="宋体" w:cs="宋体"/>
          <w:color w:val="auto"/>
          <w:sz w:val="21"/>
          <w:szCs w:val="21"/>
          <w:highlight w:val="none"/>
        </w:rPr>
      </w:pPr>
    </w:p>
    <w:p w14:paraId="35A9DB20">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347A03A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名称、盖单位章）</w:t>
      </w:r>
    </w:p>
    <w:p w14:paraId="34FE6A1E">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0EC59D1">
      <w:pPr>
        <w:rPr>
          <w:rFonts w:hint="eastAsia" w:eastAsia="宋体"/>
          <w:highlight w:val="none"/>
          <w:lang w:val="en-US" w:eastAsia="zh-CN"/>
        </w:rPr>
      </w:pPr>
    </w:p>
    <w:p w14:paraId="4CE11296">
      <w:pPr>
        <w:pStyle w:val="4"/>
        <w:adjustRightInd w:val="0"/>
        <w:snapToGrid w:val="0"/>
        <w:spacing w:line="360" w:lineRule="auto"/>
        <w:jc w:val="center"/>
        <w:rPr>
          <w:rFonts w:hint="eastAsia" w:ascii="黑体" w:eastAsia="黑体"/>
          <w:color w:val="auto"/>
          <w:sz w:val="36"/>
          <w:szCs w:val="36"/>
          <w:highlight w:val="none"/>
          <w:lang w:eastAsia="zh-CN"/>
        </w:rPr>
        <w:sectPr>
          <w:pgSz w:w="11906" w:h="16838"/>
          <w:pgMar w:top="1440" w:right="1800" w:bottom="1440" w:left="1800" w:header="851" w:footer="992" w:gutter="0"/>
          <w:cols w:space="425" w:num="1"/>
          <w:docGrid w:type="lines" w:linePitch="312" w:charSpace="0"/>
        </w:sectPr>
      </w:pPr>
    </w:p>
    <w:p w14:paraId="2948E41D">
      <w:pPr>
        <w:pStyle w:val="4"/>
        <w:pageBreakBefore w:val="0"/>
        <w:numPr>
          <w:ilvl w:val="0"/>
          <w:numId w:val="0"/>
        </w:numPr>
        <w:overflowPunct/>
        <w:bidi w:val="0"/>
        <w:adjustRightInd w:val="0"/>
        <w:snapToGrid w:val="0"/>
        <w:spacing w:line="360" w:lineRule="auto"/>
        <w:jc w:val="center"/>
        <w:outlineLvl w:val="2"/>
        <w:rPr>
          <w:rFonts w:hint="eastAsia" w:hAnsi="宋体"/>
          <w:color w:val="auto"/>
          <w:sz w:val="24"/>
          <w:szCs w:val="24"/>
          <w:highlight w:val="none"/>
        </w:rPr>
      </w:pPr>
      <w:r>
        <w:rPr>
          <w:rFonts w:hint="eastAsia" w:ascii="宋体" w:hAnsi="宋体" w:eastAsia="宋体" w:cs="宋体"/>
          <w:b/>
          <w:bCs/>
          <w:color w:val="auto"/>
          <w:sz w:val="28"/>
          <w:szCs w:val="28"/>
          <w:highlight w:val="none"/>
          <w:lang w:val="en-US" w:eastAsia="zh-CN"/>
        </w:rPr>
        <w:t>3.</w:t>
      </w:r>
      <w:r>
        <w:rPr>
          <w:rFonts w:hint="eastAsia" w:ascii="宋体" w:hAnsi="宋体" w:eastAsia="宋体" w:cs="宋体"/>
          <w:b/>
          <w:bCs/>
          <w:color w:val="auto"/>
          <w:sz w:val="28"/>
          <w:szCs w:val="28"/>
          <w:highlight w:val="none"/>
        </w:rPr>
        <w:t>缴纳社会保障资金证明</w:t>
      </w:r>
    </w:p>
    <w:p w14:paraId="44891B53">
      <w:pPr>
        <w:pStyle w:val="4"/>
        <w:adjustRightInd w:val="0"/>
        <w:snapToGrid w:val="0"/>
        <w:spacing w:line="360" w:lineRule="auto"/>
        <w:ind w:firstLine="482"/>
        <w:rPr>
          <w:rFonts w:hint="eastAsia" w:hAnsi="宋体"/>
          <w:b/>
          <w:bCs/>
          <w:color w:val="auto"/>
          <w:highlight w:val="none"/>
        </w:rPr>
      </w:pPr>
      <w:r>
        <w:rPr>
          <w:rFonts w:hint="eastAsia" w:hAnsi="宋体"/>
          <w:b/>
          <w:bCs/>
          <w:color w:val="auto"/>
          <w:highlight w:val="none"/>
        </w:rPr>
        <w:t>说明：</w:t>
      </w:r>
    </w:p>
    <w:p w14:paraId="0E397132">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（1）提供投标人202</w:t>
      </w:r>
      <w:r>
        <w:rPr>
          <w:rFonts w:hint="eastAsia" w:hAnsi="宋体"/>
          <w:color w:val="auto"/>
          <w:highlight w:val="none"/>
          <w:lang w:val="en-US" w:eastAsia="zh-CN"/>
        </w:rPr>
        <w:t>6</w:t>
      </w:r>
      <w:r>
        <w:rPr>
          <w:rFonts w:hint="eastAsia" w:hAnsi="宋体"/>
          <w:color w:val="auto"/>
          <w:highlight w:val="none"/>
          <w:lang w:eastAsia="zh-CN"/>
        </w:rPr>
        <w:t>年1月至今已缴存的任意时段的社会保障资金缴存单据或社保机构开具的社会保险参保缴费情况证明；</w:t>
      </w:r>
    </w:p>
    <w:p w14:paraId="3F7A2940">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（2）依法不需要缴纳社会保障资金的应提供相关文件证明；</w:t>
      </w:r>
    </w:p>
    <w:p w14:paraId="01C24BF5">
      <w:pPr>
        <w:pStyle w:val="4"/>
        <w:adjustRightInd w:val="0"/>
        <w:snapToGrid w:val="0"/>
        <w:spacing w:line="360" w:lineRule="auto"/>
        <w:ind w:firstLine="482"/>
        <w:rPr>
          <w:rFonts w:hint="eastAsia" w:hAnsi="宋体"/>
          <w:b/>
          <w:bCs/>
          <w:color w:val="auto"/>
          <w:highlight w:val="none"/>
          <w:lang w:eastAsia="zh-CN"/>
        </w:rPr>
      </w:pPr>
      <w:r>
        <w:rPr>
          <w:rFonts w:hint="eastAsia" w:hAnsi="宋体"/>
          <w:b/>
          <w:bCs/>
          <w:color w:val="auto"/>
          <w:highlight w:val="none"/>
          <w:lang w:eastAsia="zh-CN"/>
        </w:rPr>
        <w:t>要求：</w:t>
      </w:r>
    </w:p>
    <w:p w14:paraId="69D4C108">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（1）公益类事业单位无需提供；</w:t>
      </w:r>
    </w:p>
    <w:p w14:paraId="2D091911">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（2）新成立（成立时间至递交响应文件截止时间不足一年）未发生缴纳社保资金事项的投标人，</w:t>
      </w:r>
      <w:r>
        <w:rPr>
          <w:rFonts w:hint="eastAsia" w:hAnsi="宋体"/>
          <w:color w:val="auto"/>
          <w:highlight w:val="none"/>
        </w:rPr>
        <w:t>应提供缴纳社保资金的书面承诺</w:t>
      </w:r>
      <w:r>
        <w:rPr>
          <w:rFonts w:hint="eastAsia" w:hAnsi="宋体"/>
          <w:color w:val="auto"/>
          <w:highlight w:val="none"/>
          <w:lang w:eastAsia="zh-CN"/>
        </w:rPr>
        <w:t>；</w:t>
      </w:r>
    </w:p>
    <w:p w14:paraId="2630A4DF">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（3）其他组织和自然人需提供缴纳社会保险的凭据；</w:t>
      </w:r>
    </w:p>
    <w:p w14:paraId="11C4327B">
      <w:pPr>
        <w:rPr>
          <w:rFonts w:hint="eastAsia"/>
          <w:highlight w:val="none"/>
        </w:rPr>
      </w:pPr>
      <w:r>
        <w:rPr>
          <w:rFonts w:hint="eastAsia"/>
          <w:highlight w:val="none"/>
        </w:rPr>
        <w:br w:type="page"/>
      </w:r>
    </w:p>
    <w:p w14:paraId="777FF468">
      <w:pPr>
        <w:pStyle w:val="4"/>
        <w:pageBreakBefore w:val="0"/>
        <w:overflowPunct/>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hAnsi="宋体" w:eastAsia="宋体" w:cs="宋体"/>
          <w:color w:val="auto"/>
          <w:sz w:val="21"/>
          <w:szCs w:val="21"/>
          <w:highlight w:val="none"/>
          <w:lang w:val="en-US" w:eastAsia="zh-CN"/>
        </w:rPr>
        <w:t>投标人</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48D82BA0">
      <w:pPr>
        <w:pStyle w:val="4"/>
        <w:pageBreakBefore w:val="0"/>
        <w:overflowPunct/>
        <w:bidi w:val="0"/>
        <w:adjustRightInd w:val="0"/>
        <w:snapToGrid w:val="0"/>
        <w:spacing w:line="360" w:lineRule="auto"/>
        <w:jc w:val="left"/>
        <w:rPr>
          <w:rFonts w:hint="eastAsia" w:ascii="宋体" w:hAnsi="宋体" w:eastAsia="宋体" w:cs="宋体"/>
          <w:color w:val="auto"/>
          <w:sz w:val="21"/>
          <w:szCs w:val="21"/>
          <w:highlight w:val="none"/>
        </w:rPr>
      </w:pPr>
    </w:p>
    <w:p w14:paraId="2C73AF7D">
      <w:pPr>
        <w:pageBreakBefore w:val="0"/>
        <w:overflowPunct/>
        <w:bidi w:val="0"/>
        <w:spacing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依法缴纳社会保障资金承诺书</w:t>
      </w:r>
    </w:p>
    <w:p w14:paraId="1D0B1143">
      <w:pPr>
        <w:pStyle w:val="2"/>
        <w:spacing w:before="600" w:beforeLines="250" w:line="360" w:lineRule="auto"/>
        <w:ind w:firstLine="0"/>
        <w:rPr>
          <w:rFonts w:ascii="宋体" w:hAnsi="宋体"/>
          <w:color w:val="auto"/>
          <w:szCs w:val="21"/>
          <w:highlight w:val="none"/>
        </w:rPr>
      </w:pPr>
      <w:r>
        <w:rPr>
          <w:rFonts w:hint="eastAsia" w:ascii="宋体" w:hAnsi="宋体"/>
          <w:color w:val="auto"/>
          <w:szCs w:val="21"/>
          <w:highlight w:val="none"/>
          <w:lang w:eastAsia="zh-CN"/>
        </w:rPr>
        <w:t>陕西隆信项目管理有限公司</w:t>
      </w:r>
      <w:r>
        <w:rPr>
          <w:rFonts w:hint="eastAsia" w:ascii="宋体" w:hAnsi="宋体"/>
          <w:color w:val="auto"/>
          <w:szCs w:val="21"/>
          <w:highlight w:val="none"/>
        </w:rPr>
        <w:t>：</w:t>
      </w:r>
      <w:r>
        <w:rPr>
          <w:rFonts w:ascii="宋体" w:hAnsi="宋体"/>
          <w:color w:val="auto"/>
          <w:szCs w:val="21"/>
          <w:highlight w:val="none"/>
        </w:rPr>
        <w:t xml:space="preserve"> </w:t>
      </w:r>
    </w:p>
    <w:p w14:paraId="25304E5A">
      <w:pPr>
        <w:pStyle w:val="2"/>
        <w:spacing w:before="120" w:beforeLines="50" w:line="360" w:lineRule="auto"/>
        <w:rPr>
          <w:rFonts w:ascii="宋体" w:hAnsi="宋体"/>
          <w:color w:val="auto"/>
          <w:szCs w:val="21"/>
          <w:highlight w:val="none"/>
        </w:rPr>
      </w:pPr>
      <w:r>
        <w:rPr>
          <w:rFonts w:hint="eastAsia" w:ascii="宋体" w:hAnsi="宋体"/>
          <w:color w:val="auto"/>
          <w:szCs w:val="21"/>
          <w:highlight w:val="none"/>
        </w:rPr>
        <w:t>我方参与</w:t>
      </w:r>
      <w:r>
        <w:rPr>
          <w:rFonts w:hint="eastAsia" w:ascii="宋体" w:hAnsi="宋体"/>
          <w:color w:val="auto"/>
          <w:szCs w:val="21"/>
          <w:highlight w:val="none"/>
          <w:u w:val="single"/>
        </w:rPr>
        <w:t xml:space="preserve">                  </w:t>
      </w:r>
      <w:r>
        <w:rPr>
          <w:rFonts w:hint="eastAsia" w:ascii="宋体" w:hAnsi="宋体"/>
          <w:color w:val="auto"/>
          <w:szCs w:val="21"/>
          <w:highlight w:val="none"/>
        </w:rPr>
        <w:t>（项目名称）（项目编号：</w:t>
      </w:r>
      <w:r>
        <w:rPr>
          <w:rFonts w:hint="eastAsia" w:ascii="宋体" w:hAnsi="宋体"/>
          <w:color w:val="auto"/>
          <w:szCs w:val="21"/>
          <w:highlight w:val="none"/>
          <w:u w:val="single"/>
        </w:rPr>
        <w:t xml:space="preserve">           </w:t>
      </w:r>
      <w:r>
        <w:rPr>
          <w:rFonts w:hint="eastAsia" w:ascii="宋体" w:hAnsi="宋体"/>
          <w:color w:val="auto"/>
          <w:szCs w:val="21"/>
          <w:highlight w:val="none"/>
        </w:rPr>
        <w:t>）项目的政府采购活动，现承诺如下：</w:t>
      </w:r>
    </w:p>
    <w:p w14:paraId="66B62E64">
      <w:pPr>
        <w:pStyle w:val="2"/>
        <w:spacing w:line="360" w:lineRule="auto"/>
        <w:ind w:firstLineChars="200"/>
        <w:rPr>
          <w:rFonts w:ascii="宋体" w:hAnsi="宋体"/>
          <w:color w:val="auto"/>
          <w:szCs w:val="21"/>
          <w:highlight w:val="none"/>
        </w:rPr>
      </w:pPr>
      <w:r>
        <w:rPr>
          <w:rFonts w:hint="eastAsia" w:ascii="宋体" w:hAnsi="宋体"/>
          <w:color w:val="auto"/>
          <w:szCs w:val="21"/>
          <w:highlight w:val="none"/>
        </w:rPr>
        <w:t>我方承诺将依法缴纳社会保障资金，并符合《中华人民共和国政府采购法》及其实施条例和采购文件资格要求的规定。</w:t>
      </w:r>
    </w:p>
    <w:p w14:paraId="3AC61C48">
      <w:pPr>
        <w:pStyle w:val="2"/>
        <w:spacing w:line="360" w:lineRule="auto"/>
        <w:rPr>
          <w:rFonts w:ascii="宋体" w:hAnsi="宋体"/>
          <w:color w:val="auto"/>
          <w:szCs w:val="21"/>
          <w:highlight w:val="none"/>
        </w:rPr>
      </w:pPr>
      <w:r>
        <w:rPr>
          <w:rFonts w:hint="eastAsia" w:ascii="宋体" w:hAnsi="宋体"/>
          <w:color w:val="auto"/>
          <w:szCs w:val="21"/>
          <w:highlight w:val="none"/>
        </w:rPr>
        <w:t>若我方以上承诺不实，自愿承担提供虚假材料谋取</w:t>
      </w:r>
      <w:r>
        <w:rPr>
          <w:rFonts w:hint="eastAsia" w:ascii="宋体" w:hAnsi="宋体"/>
          <w:color w:val="auto"/>
          <w:szCs w:val="21"/>
          <w:highlight w:val="none"/>
          <w:lang w:eastAsia="zh-CN"/>
        </w:rPr>
        <w:t>中标</w:t>
      </w:r>
      <w:r>
        <w:rPr>
          <w:rFonts w:hint="eastAsia" w:ascii="宋体" w:hAnsi="宋体"/>
          <w:color w:val="auto"/>
          <w:szCs w:val="21"/>
          <w:highlight w:val="none"/>
        </w:rPr>
        <w:t>的法律责任。</w:t>
      </w:r>
    </w:p>
    <w:p w14:paraId="7A949131">
      <w:pPr>
        <w:pStyle w:val="2"/>
        <w:spacing w:line="360" w:lineRule="auto"/>
        <w:ind w:firstLine="573"/>
        <w:rPr>
          <w:rFonts w:ascii="宋体" w:hAnsi="宋体"/>
          <w:color w:val="auto"/>
          <w:szCs w:val="21"/>
          <w:highlight w:val="none"/>
        </w:rPr>
      </w:pPr>
    </w:p>
    <w:p w14:paraId="335A324D">
      <w:pPr>
        <w:pStyle w:val="2"/>
        <w:spacing w:line="360" w:lineRule="auto"/>
        <w:ind w:firstLine="573"/>
        <w:rPr>
          <w:rFonts w:ascii="宋体" w:hAnsi="宋体"/>
          <w:color w:val="auto"/>
          <w:szCs w:val="21"/>
          <w:highlight w:val="none"/>
        </w:rPr>
      </w:pPr>
    </w:p>
    <w:p w14:paraId="1ABC8712">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承 诺 人：</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eastAsia="zh-CN"/>
        </w:rPr>
        <w:t>投标人</w:t>
      </w:r>
      <w:r>
        <w:rPr>
          <w:rFonts w:hint="eastAsia" w:ascii="宋体" w:hAnsi="宋体"/>
          <w:color w:val="auto"/>
          <w:szCs w:val="21"/>
          <w:highlight w:val="none"/>
        </w:rPr>
        <w:t>名称、盖单位章）</w:t>
      </w:r>
    </w:p>
    <w:p w14:paraId="450FC1E3">
      <w:pPr>
        <w:pStyle w:val="2"/>
        <w:spacing w:line="360" w:lineRule="auto"/>
        <w:ind w:firstLine="573"/>
        <w:rPr>
          <w:rFonts w:hint="eastAsia" w:ascii="宋体" w:hAnsi="宋体"/>
          <w:color w:val="auto"/>
          <w:szCs w:val="21"/>
          <w:highlight w:val="none"/>
        </w:rPr>
      </w:pPr>
    </w:p>
    <w:p w14:paraId="0E8ED146">
      <w:pPr>
        <w:pStyle w:val="2"/>
        <w:spacing w:line="360" w:lineRule="auto"/>
        <w:ind w:firstLine="573"/>
        <w:rPr>
          <w:rFonts w:hint="eastAsia" w:ascii="宋体" w:hAnsi="宋体"/>
          <w:color w:val="auto"/>
          <w:szCs w:val="21"/>
          <w:highlight w:val="none"/>
        </w:rPr>
      </w:pPr>
    </w:p>
    <w:p w14:paraId="2889AF51">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olor w:val="auto"/>
          <w:szCs w:val="21"/>
          <w:highlight w:val="none"/>
          <w:lang w:val="zh-CN"/>
        </w:rPr>
        <w:t>（单位负责人）</w:t>
      </w:r>
      <w:r>
        <w:rPr>
          <w:rFonts w:hint="eastAsia" w:ascii="宋体" w:hAnsi="宋体"/>
          <w:color w:val="auto"/>
          <w:szCs w:val="21"/>
          <w:highlight w:val="none"/>
        </w:rPr>
        <w:t>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（签名）</w:t>
      </w:r>
    </w:p>
    <w:p w14:paraId="3EA47349">
      <w:pPr>
        <w:pStyle w:val="2"/>
        <w:spacing w:line="360" w:lineRule="auto"/>
        <w:ind w:firstLine="573"/>
        <w:rPr>
          <w:rFonts w:hint="eastAsia" w:ascii="宋体" w:hAnsi="宋体"/>
          <w:color w:val="auto"/>
          <w:szCs w:val="21"/>
          <w:highlight w:val="none"/>
        </w:rPr>
      </w:pPr>
    </w:p>
    <w:p w14:paraId="62F63852">
      <w:pPr>
        <w:pStyle w:val="2"/>
        <w:spacing w:line="360" w:lineRule="auto"/>
        <w:ind w:firstLine="573"/>
        <w:rPr>
          <w:rFonts w:hint="eastAsia" w:ascii="宋体" w:hAnsi="宋体"/>
          <w:color w:val="auto"/>
          <w:szCs w:val="21"/>
          <w:highlight w:val="none"/>
        </w:rPr>
      </w:pPr>
    </w:p>
    <w:p w14:paraId="192AEE12">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BFA8794">
      <w:pPr>
        <w:pStyle w:val="2"/>
        <w:spacing w:line="360" w:lineRule="auto"/>
        <w:ind w:firstLine="573"/>
        <w:rPr>
          <w:rFonts w:hint="eastAsia" w:ascii="宋体" w:hAnsi="宋体"/>
          <w:color w:val="auto"/>
          <w:szCs w:val="21"/>
          <w:highlight w:val="none"/>
        </w:rPr>
      </w:pPr>
    </w:p>
    <w:p w14:paraId="68752D64">
      <w:pPr>
        <w:spacing w:line="360" w:lineRule="auto"/>
        <w:rPr>
          <w:rFonts w:hint="eastAsia" w:ascii="仿宋_GB2312" w:hAnsi="宋体" w:eastAsia="仿宋_GB2312"/>
          <w:color w:val="auto"/>
          <w:sz w:val="28"/>
          <w:szCs w:val="28"/>
          <w:highlight w:val="none"/>
        </w:rPr>
      </w:pPr>
    </w:p>
    <w:p w14:paraId="4B96D5BD">
      <w:pPr>
        <w:rPr>
          <w:rFonts w:hint="eastAsia" w:ascii="宋体" w:hAnsi="宋体" w:eastAsia="宋体" w:cs="宋体"/>
          <w:sz w:val="24"/>
          <w:szCs w:val="24"/>
          <w:highlight w:val="none"/>
        </w:rPr>
      </w:pPr>
      <w:r>
        <w:rPr>
          <w:rFonts w:hint="eastAsia" w:ascii="黑体" w:hAnsi="宋体" w:eastAsia="黑体"/>
          <w:color w:val="auto"/>
          <w:sz w:val="36"/>
          <w:szCs w:val="36"/>
          <w:highlight w:val="none"/>
        </w:rPr>
        <w:br w:type="page"/>
      </w:r>
    </w:p>
    <w:p w14:paraId="4571E654">
      <w:pPr>
        <w:pStyle w:val="4"/>
        <w:pageBreakBefore w:val="0"/>
        <w:numPr>
          <w:ilvl w:val="0"/>
          <w:numId w:val="0"/>
        </w:numPr>
        <w:overflowPunct/>
        <w:bidi w:val="0"/>
        <w:adjustRightInd w:val="0"/>
        <w:snapToGrid w:val="0"/>
        <w:spacing w:line="360" w:lineRule="auto"/>
        <w:jc w:val="center"/>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4</w:t>
      </w:r>
      <w:r>
        <w:rPr>
          <w:rFonts w:hint="eastAsia"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val="en-US" w:eastAsia="zh-CN"/>
        </w:rPr>
        <w:t>被授权代表的身份证复印件以及202</w:t>
      </w:r>
      <w:r>
        <w:rPr>
          <w:rFonts w:hint="eastAsia"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lang w:val="en-US" w:eastAsia="zh-CN"/>
        </w:rPr>
        <w:t>年1月至今任意时段在本单位注册的已缴纳的社会保障资金缴存单据或社保机构开具的社会保险参保缴费情况证明</w:t>
      </w:r>
    </w:p>
    <w:p w14:paraId="138C4B22">
      <w:pPr>
        <w:rPr>
          <w:highlight w:val="none"/>
        </w:rPr>
      </w:pPr>
    </w:p>
    <w:p w14:paraId="31E6BDCC">
      <w:pPr>
        <w:pStyle w:val="6"/>
        <w:rPr>
          <w:highlight w:val="none"/>
        </w:rPr>
        <w:sectPr>
          <w:pgSz w:w="11906" w:h="16838"/>
          <w:pgMar w:top="1440" w:right="1800" w:bottom="1440" w:left="1800" w:header="851" w:footer="992" w:gutter="0"/>
          <w:cols w:space="425" w:num="1"/>
          <w:docGrid w:type="lines" w:linePitch="312" w:charSpace="0"/>
        </w:sectPr>
      </w:pPr>
    </w:p>
    <w:p w14:paraId="6F1B5A5A">
      <w:pPr>
        <w:pStyle w:val="4"/>
        <w:pageBreakBefore w:val="0"/>
        <w:numPr>
          <w:ilvl w:val="0"/>
          <w:numId w:val="0"/>
        </w:numPr>
        <w:overflowPunct/>
        <w:bidi w:val="0"/>
        <w:adjustRightInd w:val="0"/>
        <w:snapToGrid w:val="0"/>
        <w:spacing w:line="360" w:lineRule="auto"/>
        <w:jc w:val="left"/>
        <w:outlineLvl w:val="2"/>
        <w:rPr>
          <w:rFonts w:hint="eastAsia" w:ascii="宋体" w:hAnsi="宋体" w:eastAsia="宋体" w:cs="宋体"/>
          <w:lang w:val="en-US" w:eastAsia="zh-Hans"/>
        </w:rPr>
      </w:pPr>
      <w:r>
        <w:rPr>
          <w:rFonts w:hint="eastAsia" w:hAnsi="宋体" w:eastAsia="宋体" w:cs="宋体"/>
          <w:b/>
          <w:bCs/>
          <w:color w:val="auto"/>
          <w:sz w:val="28"/>
          <w:szCs w:val="28"/>
          <w:highlight w:val="none"/>
          <w:lang w:val="en-US" w:eastAsia="zh-CN"/>
        </w:rPr>
        <w:t>5.中标人的业绩</w:t>
      </w:r>
    </w:p>
    <w:p w14:paraId="4377BFDA">
      <w:pPr>
        <w:pStyle w:val="15"/>
        <w:rPr>
          <w:rFonts w:hint="eastAsia" w:ascii="宋体" w:hAnsi="宋体" w:eastAsia="宋体" w:cs="宋体"/>
          <w:lang w:val="en-US" w:eastAsia="zh-Hans"/>
        </w:rPr>
      </w:pPr>
    </w:p>
    <w:p w14:paraId="30CF054C">
      <w:pPr>
        <w:pStyle w:val="15"/>
        <w:rPr>
          <w:rFonts w:hint="eastAsia"/>
          <w:lang w:val="en-US" w:eastAsia="zh-Hans"/>
        </w:rPr>
      </w:pPr>
    </w:p>
    <w:p w14:paraId="058AC1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9"/>
      <w:suff w:val="nothing"/>
      <w:lvlText w:val="%1、"/>
      <w:lvlJc w:val="left"/>
      <w:rPr>
        <w:rFonts w:hint="eastAsia"/>
      </w:rPr>
    </w:lvl>
  </w:abstractNum>
  <w:abstractNum w:abstractNumId="1">
    <w:nsid w:val="1C7693ED"/>
    <w:multiLevelType w:val="singleLevel"/>
    <w:tmpl w:val="1C7693ED"/>
    <w:lvl w:ilvl="0" w:tentative="0">
      <w:start w:val="2"/>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F44E39"/>
    <w:rsid w:val="2EF44E39"/>
    <w:rsid w:val="506E24DD"/>
    <w:rsid w:val="5272386B"/>
    <w:rsid w:val="5D726EE9"/>
    <w:rsid w:val="5D8B1CCD"/>
    <w:rsid w:val="66D51FC7"/>
    <w:rsid w:val="713248F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rPr>
      <w:rFonts w:ascii="Arial" w:hAnsi="Arial" w:eastAsia="宋体"/>
      <w:sz w:val="24"/>
    </w:rPr>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qFormat/>
    <w:uiPriority w:val="0"/>
    <w:pPr>
      <w:ind w:firstLine="420" w:firstLineChars="100"/>
    </w:pPr>
    <w:rPr>
      <w:szCs w:val="24"/>
    </w:rPr>
  </w:style>
  <w:style w:type="paragraph" w:customStyle="1" w:styleId="9">
    <w:name w:val="样式1"/>
    <w:basedOn w:val="1"/>
    <w:qFormat/>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0">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1">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2">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3">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7</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2026-04-28T07:02:00Z</dcterms:created>
  <dc:creator>Lenovo</dc:creator>
  <cp:lastModifiedBy>Lenovo</cp:lastModifiedBy>
  <dcterms:modified xsi:type="dcterms:W3CDTF">2026-04-28T07:09:10Z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281A935816854E7282521EA1114516EC_11</vt:lpwstr>
  </property>
  <property fmtid="{D5CDD505-2E9C-101B-9397-08002B2CF9AE}" pid="4" name="KSOTemplateDocerSaveRecord">
    <vt:lpwstr>eyJoZGlkIjoiYTkwMWYyZDNhM2MyN2IxMWZiZjE3OGZiYjU1NjEyNWYiLCJ1c2VySWQiOiI0NDgyMTE1NDUifQ==</vt:lpwstr>
  </property>
</Properties>
</file>