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C2281">
      <w:pPr>
        <w:pStyle w:val="2"/>
        <w:pageBreakBefore w:val="0"/>
        <w:numPr>
          <w:numId w:val="0"/>
        </w:numPr>
        <w:kinsoku/>
        <w:wordWrap/>
        <w:topLinePunct w:val="0"/>
        <w:bidi w:val="0"/>
        <w:spacing w:line="520" w:lineRule="exact"/>
        <w:ind w:right="0" w:rightChars="0"/>
        <w:jc w:val="center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采购内容及要求</w:t>
      </w:r>
    </w:p>
    <w:p w14:paraId="0B52B406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一、项目概述</w:t>
      </w:r>
    </w:p>
    <w:p w14:paraId="35EDB9B2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本项目采购WEB应用防火墙2台，为现有业务系统提供应用层安全防护，抵</w:t>
      </w:r>
    </w:p>
    <w:p w14:paraId="22B26594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御SQL注入、恶意扫描、爬虫攻击、非法访问等常见Web攻击。</w:t>
      </w:r>
    </w:p>
    <w:p w14:paraId="1765E40C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二、采购清单</w:t>
      </w:r>
    </w:p>
    <w:tbl>
      <w:tblPr>
        <w:tblStyle w:val="7"/>
        <w:tblW w:w="8946" w:type="dxa"/>
        <w:tblInd w:w="5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810"/>
        <w:gridCol w:w="804"/>
        <w:gridCol w:w="859"/>
        <w:gridCol w:w="3614"/>
      </w:tblGrid>
      <w:tr w14:paraId="5333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859" w:type="dxa"/>
            <w:noWrap w:val="0"/>
            <w:vAlign w:val="top"/>
          </w:tcPr>
          <w:p w14:paraId="1539423B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2810" w:type="dxa"/>
            <w:noWrap w:val="0"/>
            <w:vAlign w:val="top"/>
          </w:tcPr>
          <w:p w14:paraId="21795ADF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产品名称</w:t>
            </w:r>
          </w:p>
        </w:tc>
        <w:tc>
          <w:tcPr>
            <w:tcW w:w="804" w:type="dxa"/>
            <w:noWrap w:val="0"/>
            <w:vAlign w:val="top"/>
          </w:tcPr>
          <w:p w14:paraId="66425C86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859" w:type="dxa"/>
            <w:noWrap w:val="0"/>
            <w:vAlign w:val="top"/>
          </w:tcPr>
          <w:p w14:paraId="033F9035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单位</w:t>
            </w:r>
          </w:p>
        </w:tc>
        <w:tc>
          <w:tcPr>
            <w:tcW w:w="3614" w:type="dxa"/>
            <w:noWrap w:val="0"/>
            <w:vAlign w:val="top"/>
          </w:tcPr>
          <w:p w14:paraId="575600C9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备注</w:t>
            </w:r>
          </w:p>
        </w:tc>
      </w:tr>
      <w:tr w14:paraId="68585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9" w:type="dxa"/>
            <w:noWrap w:val="0"/>
            <w:vAlign w:val="top"/>
          </w:tcPr>
          <w:p w14:paraId="62AA5EB1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810" w:type="dxa"/>
            <w:noWrap w:val="0"/>
            <w:vAlign w:val="top"/>
          </w:tcPr>
          <w:p w14:paraId="5058C3C4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WEB应用防火墙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WAF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04" w:type="dxa"/>
            <w:noWrap w:val="0"/>
            <w:vAlign w:val="top"/>
          </w:tcPr>
          <w:p w14:paraId="3DE79544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859" w:type="dxa"/>
            <w:noWrap w:val="0"/>
            <w:vAlign w:val="top"/>
          </w:tcPr>
          <w:p w14:paraId="6CC2C1C9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台</w:t>
            </w:r>
          </w:p>
        </w:tc>
        <w:tc>
          <w:tcPr>
            <w:tcW w:w="3614" w:type="dxa"/>
            <w:noWrap w:val="0"/>
            <w:vAlign w:val="top"/>
          </w:tcPr>
          <w:p w14:paraId="51F5A362">
            <w:pPr>
              <w:pStyle w:val="8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>含软件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且为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>全新原装设备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</w:tbl>
    <w:p w14:paraId="4DBA0F10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三、硬件配置要求</w:t>
      </w:r>
    </w:p>
    <w:p w14:paraId="56D18DDC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1.非NGFW（下一代防火墙）产品形态，标准机架式设备，采用国产化CPU</w:t>
      </w:r>
    </w:p>
    <w:p w14:paraId="790E0A6F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及国产化操作系统，国产化CPU核数≥8核、主频≥2.8GHz；</w:t>
      </w:r>
    </w:p>
    <w:p w14:paraId="30B010C4">
      <w:pPr>
        <w:pageBreakBefore w:val="0"/>
        <w:numPr>
          <w:ilvl w:val="0"/>
          <w:numId w:val="1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提供1个10/100/1000M自适应管理接口、1个10/100/1000M自适应HA</w:t>
      </w:r>
    </w:p>
    <w:p w14:paraId="3BE72053">
      <w:pPr>
        <w:pageBreakBefore w:val="0"/>
        <w:numPr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口；</w:t>
      </w:r>
    </w:p>
    <w:p w14:paraId="20D2619C">
      <w:pPr>
        <w:pageBreakBefore w:val="0"/>
        <w:numPr>
          <w:ilvl w:val="0"/>
          <w:numId w:val="1"/>
        </w:numPr>
        <w:kinsoku/>
        <w:wordWrap/>
        <w:topLinePunct w:val="0"/>
        <w:bidi w:val="0"/>
        <w:snapToGrid w:val="0"/>
        <w:spacing w:line="520" w:lineRule="exact"/>
        <w:ind w:left="420" w:leftChars="20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配置≥4个10/100/1000Base-T千兆电口（具备BYPASS功能）、≥4个千</w:t>
      </w:r>
    </w:p>
    <w:p w14:paraId="31F19C4B">
      <w:pPr>
        <w:pageBreakBefore w:val="0"/>
        <w:numPr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兆光口（不含光模块）；</w:t>
      </w:r>
    </w:p>
    <w:p w14:paraId="51716F96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4.配置≥2个扩展插槽，支持通用接口板扩展；标配双电源；</w:t>
      </w:r>
    </w:p>
    <w:p w14:paraId="18EE25E0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5.内存≥32GB；配置≥128GB固态硬盘（SSD），支持选配更大容量硬盘扩展</w:t>
      </w:r>
    </w:p>
    <w:p w14:paraId="7579285B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存储；</w:t>
      </w:r>
    </w:p>
    <w:p w14:paraId="7A68C123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四、性能指标要求</w:t>
      </w:r>
    </w:p>
    <w:tbl>
      <w:tblPr>
        <w:tblStyle w:val="7"/>
        <w:tblW w:w="8918" w:type="dxa"/>
        <w:tblInd w:w="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9"/>
        <w:gridCol w:w="2209"/>
      </w:tblGrid>
      <w:tr w14:paraId="69551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tblHeader/>
        </w:trPr>
        <w:tc>
          <w:tcPr>
            <w:tcW w:w="6709" w:type="dxa"/>
            <w:noWrap w:val="0"/>
            <w:vAlign w:val="top"/>
          </w:tcPr>
          <w:p w14:paraId="26961AFC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指标项</w:t>
            </w:r>
          </w:p>
        </w:tc>
        <w:tc>
          <w:tcPr>
            <w:tcW w:w="2209" w:type="dxa"/>
            <w:noWrap w:val="0"/>
            <w:vAlign w:val="top"/>
          </w:tcPr>
          <w:p w14:paraId="34400C68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要求</w:t>
            </w:r>
          </w:p>
        </w:tc>
      </w:tr>
      <w:tr w14:paraId="0DC39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6709" w:type="dxa"/>
            <w:noWrap w:val="0"/>
            <w:vAlign w:val="top"/>
          </w:tcPr>
          <w:p w14:paraId="637F4B2F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HTTP应用层吞吐量</w:t>
            </w:r>
          </w:p>
        </w:tc>
        <w:tc>
          <w:tcPr>
            <w:tcW w:w="2209" w:type="dxa"/>
            <w:noWrap w:val="0"/>
            <w:vAlign w:val="top"/>
          </w:tcPr>
          <w:p w14:paraId="311D0508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≥5Gbps</w:t>
            </w:r>
          </w:p>
        </w:tc>
      </w:tr>
      <w:tr w14:paraId="2B1E5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6709" w:type="dxa"/>
            <w:noWrap w:val="0"/>
            <w:vAlign w:val="top"/>
          </w:tcPr>
          <w:p w14:paraId="38120DB7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HTTP最大并发连接数</w:t>
            </w:r>
          </w:p>
        </w:tc>
        <w:tc>
          <w:tcPr>
            <w:tcW w:w="2209" w:type="dxa"/>
            <w:noWrap w:val="0"/>
            <w:vAlign w:val="top"/>
          </w:tcPr>
          <w:p w14:paraId="725B4EDC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≥400万</w:t>
            </w:r>
          </w:p>
        </w:tc>
      </w:tr>
      <w:tr w14:paraId="3FF8F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6709" w:type="dxa"/>
            <w:noWrap w:val="0"/>
            <w:vAlign w:val="top"/>
          </w:tcPr>
          <w:p w14:paraId="41FFBA99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HTTP最大请求速率</w:t>
            </w:r>
          </w:p>
        </w:tc>
        <w:tc>
          <w:tcPr>
            <w:tcW w:w="2209" w:type="dxa"/>
            <w:noWrap w:val="0"/>
            <w:vAlign w:val="top"/>
          </w:tcPr>
          <w:p w14:paraId="25CB8FE1"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≥6万/秒</w:t>
            </w:r>
          </w:p>
        </w:tc>
      </w:tr>
    </w:tbl>
    <w:p w14:paraId="7A21607C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五、功能技术要求</w:t>
      </w:r>
    </w:p>
    <w:p w14:paraId="49B88546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1.支持透明模式、反向代理模式、单臂部署模式、插件引流模式等部署模式；</w:t>
      </w:r>
    </w:p>
    <w:p w14:paraId="7E89EE38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2.支持对常用Web应用攻击（SQL注入、XSS攻击）的检测与防护功能；</w:t>
      </w:r>
    </w:p>
    <w:p w14:paraId="7F5A7116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3.支持协议识别及解码能力，应支持：URL解码、XML解码、JSON解析、Base64</w:t>
      </w:r>
    </w:p>
    <w:p w14:paraId="149924A0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解码、Unicode解码、十六进制转换、斜杠反转义、HTML解码、UTF-7解码；支持解析7层以上混合编解码能力，可实现对多层编码攻击的检测；</w:t>
      </w:r>
    </w:p>
    <w:p w14:paraId="4D92671A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4.应具备Shiro反序列化、JAVA代码注入、PHP反序列化、Webshell、弱口</w:t>
      </w:r>
    </w:p>
    <w:p w14:paraId="2AA8DA4B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令、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命令注入、XML外部实体注入、JNDI注入防护、异常文件操作等应用安全防护能力；</w:t>
      </w:r>
    </w:p>
    <w:p w14:paraId="3C8CF636">
      <w:pPr>
        <w:pageBreakBefore w:val="0"/>
        <w:numPr>
          <w:ilvl w:val="0"/>
          <w:numId w:val="2"/>
        </w:numPr>
        <w:kinsoku/>
        <w:wordWrap/>
        <w:topLinePunct w:val="0"/>
        <w:bidi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支持标准模式、透明模式、调试模式，支持基于不同场景应用不同防护模式；</w:t>
      </w:r>
    </w:p>
    <w:p w14:paraId="01A3FAFC">
      <w:pPr>
        <w:pageBreakBefore w:val="0"/>
        <w:numPr>
          <w:ilvl w:val="0"/>
          <w:numId w:val="2"/>
        </w:numPr>
        <w:kinsoku/>
        <w:wordWrap/>
        <w:topLinePunct w:val="0"/>
        <w:bidi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支持网站锁功能，在HVV（护网行动）、节假日、国家重大会议、重保等时间节点加强防护网站的安全；支持一键锁定功能，只允许访问网站、禁止提交数据；支持一键关停功能，网站禁止用户访问；</w:t>
      </w:r>
    </w:p>
    <w:p w14:paraId="44A6B340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7.支持IP黑/白名单功能，可针对IP地址进行访问控制策略配置；</w:t>
      </w:r>
    </w:p>
    <w:p w14:paraId="00A87DE7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六、服务要求</w:t>
      </w:r>
    </w:p>
    <w:p w14:paraId="6264749E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1.提供三年Web应用防护特征库、AI算法及语义算法模块升级授权；</w:t>
      </w:r>
    </w:p>
    <w:p w14:paraId="12453279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/>
          <w:color w:val="auto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2.供应商须负责设备的安装、调试及上线实施，并提供必要的操作培训。</w:t>
      </w:r>
    </w:p>
    <w:p w14:paraId="1B1014CC">
      <w:pP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val="en-US" w:eastAsia="zh-CN"/>
        </w:rPr>
      </w:pPr>
    </w:p>
    <w:p w14:paraId="3C688EE0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val="en-US" w:eastAsia="zh-CN"/>
        </w:rPr>
        <w:t>注：1、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五、功能技术要求3、4、要求提供界面截图及加盖供应商公章，未</w:t>
      </w:r>
    </w:p>
    <w:p w14:paraId="1B9A97E7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提供证明材料视为重大负偏离，按无效谈判响应文件处理。</w:t>
      </w:r>
    </w:p>
    <w:p w14:paraId="2CBFD481">
      <w:pPr>
        <w:pageBreakBefore w:val="0"/>
        <w:numPr>
          <w:ilvl w:val="0"/>
          <w:numId w:val="3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其余参数须提供证明材料（包括但不限于产品检测报告、产品彩页、官</w:t>
      </w:r>
    </w:p>
    <w:p w14:paraId="3B8CC544">
      <w:pPr>
        <w:pageBreakBefore w:val="0"/>
        <w:numPr>
          <w:numId w:val="0"/>
        </w:numPr>
        <w:kinsoku/>
        <w:wordWrap/>
        <w:topLinePunct w:val="0"/>
        <w:bidi w:val="0"/>
        <w:snapToGrid w:val="0"/>
        <w:spacing w:line="520" w:lineRule="exact"/>
        <w:rPr>
          <w:b/>
          <w:bCs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网截图等证明材料）并加盖供应商公章，有一项负偏离或未提供证明材料视为重大负偏离，按无效谈判响应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val="en-US" w:eastAsia="zh-CN"/>
        </w:rPr>
        <w:t>文件处理。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FA7AC0"/>
    <w:multiLevelType w:val="singleLevel"/>
    <w:tmpl w:val="D3FA7AC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BA6CD"/>
    <w:multiLevelType w:val="singleLevel"/>
    <w:tmpl w:val="E97BA6CD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A42065"/>
    <w:multiLevelType w:val="singleLevel"/>
    <w:tmpl w:val="FBA4206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9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spacing w:before="260" w:after="260" w:line="500" w:lineRule="atLeast"/>
      <w:ind w:left="0" w:right="0"/>
      <w:jc w:val="both"/>
      <w:outlineLvl w:val="1"/>
    </w:pPr>
    <w:rPr>
      <w:rFonts w:ascii="Arial" w:hAnsi="Arial" w:eastAsia="黑体" w:cs="Times New Roman"/>
      <w:b/>
      <w:bCs/>
      <w:kern w:val="2"/>
      <w:sz w:val="28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 w:val="0"/>
      <w:spacing w:before="0" w:after="120"/>
      <w:ind w:left="0" w:right="0"/>
      <w:jc w:val="both"/>
    </w:pPr>
  </w:style>
  <w:style w:type="paragraph" w:customStyle="1" w:styleId="6">
    <w:name w:val="Compact"/>
    <w:basedOn w:val="3"/>
    <w:qFormat/>
    <w:uiPriority w:val="0"/>
    <w:pPr>
      <w:spacing w:before="36" w:after="36"/>
    </w:pPr>
  </w:style>
  <w:style w:type="table" w:customStyle="1" w:styleId="7">
    <w:name w:val="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cPr>
        <w:tcBorders>
          <w:top w:val="nil"/>
          <w:left w:val="nil"/>
          <w:bottom w:val="single" w:color="auto" w:sz="4" w:space="0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customStyle="1" w:styleId="8">
    <w:name w:val="First Paragraph"/>
    <w:basedOn w:val="3"/>
    <w:next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2026-10-18T04:24:33Z</dcterms:created>
  <dc:creator>Administrator</dc:creator>
  <cp:lastModifiedBy>宋璟雯</cp:lastModifiedBy>
  <dcterms:modified xsi:type="dcterms:W3CDTF">2026-10-18T04:27:07Z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eyJoZGlkIjoiNjMzZmQ0ZDk5YzU0YjllNTdjMTBiZDMxYTg3ZmM2YmYiLCJ1c2VySWQiOiIxNDUxODIyODU0In0=</vt:lpwstr>
  </property>
  <property fmtid="{D5CDD505-2E9C-101B-9397-08002B2CF9AE}" pid="4" name="ICV">
    <vt:lpwstr>E844FD66519648A5A59621EA2C4E1613_12</vt:lpwstr>
  </property>
</Properties>
</file>