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版本号：ZC-HJL2026-009-120260727001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2026年扩容改造设备部分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ZC-HJL2026-009-1</w:t>
      </w:r>
      <w:r>
        <w:br/>
      </w:r>
      <w:r>
        <w:br/>
      </w:r>
      <w:r>
        <w:br/>
      </w:r>
    </w:p>
    <w:p>
      <w:pPr>
        <w:pStyle w:val="null3"/>
        <w:jc w:val="center"/>
        <w:outlineLvl w:val="2"/>
      </w:pPr>
      <w:r>
        <w:rPr>
          <w:rFonts w:ascii="仿宋_GB2312" w:hAnsi="仿宋_GB2312" w:cs="仿宋_GB2312" w:eastAsia="仿宋_GB2312"/>
          <w:sz w:val="28"/>
          <w:b/>
        </w:rPr>
        <w:t>铜川高新实验学校</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铜川高新实验学校</w:t>
      </w:r>
      <w:r>
        <w:rPr>
          <w:rFonts w:ascii="仿宋_GB2312" w:hAnsi="仿宋_GB2312" w:cs="仿宋_GB2312" w:eastAsia="仿宋_GB2312"/>
        </w:rPr>
        <w:t>委托，拟对</w:t>
      </w:r>
      <w:r>
        <w:rPr>
          <w:rFonts w:ascii="仿宋_GB2312" w:hAnsi="仿宋_GB2312" w:cs="仿宋_GB2312" w:eastAsia="仿宋_GB2312"/>
        </w:rPr>
        <w:t>2026年扩容改造设备部分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ZC-HJL2026-009-1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2026年扩容改造设备部分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2026年扩容改造设备部分采购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1、具有独⽴承担⺠事责任的能⼒的相关证明：供应商为合法注册的法⼈或其他组织或⾃然⼈，提供营业执照（或事业法 ⼈证）；⾃然⼈提供 ⾝份证明</w:t>
      </w:r>
    </w:p>
    <w:p>
      <w:pPr>
        <w:pStyle w:val="null3"/>
      </w:pPr>
      <w:r>
        <w:rPr>
          <w:rFonts w:ascii="仿宋_GB2312" w:hAnsi="仿宋_GB2312" w:cs="仿宋_GB2312" w:eastAsia="仿宋_GB2312"/>
        </w:rPr>
        <w:t>2、授权合法的⼈参加采购：法定代表⼈授权书及被授权⼈⾝份证（法定代表⼈直接参与，只须提交其⾝份证明）</w:t>
      </w:r>
    </w:p>
    <w:p>
      <w:pPr>
        <w:pStyle w:val="null3"/>
      </w:pPr>
      <w:r>
        <w:rPr>
          <w:rFonts w:ascii="仿宋_GB2312" w:hAnsi="仿宋_GB2312" w:cs="仿宋_GB2312" w:eastAsia="仿宋_GB2312"/>
        </w:rPr>
        <w:t>3、财务状况：供应商提供2024-2025年度任意⼀年经会计事务所或审计机构审计的完整的财务审计报告或在 磋商截⽌时间前三个⽉内其开⼾银⾏出具的资信证明（附开⼾许可证或基本账⼾存款信息）</w:t>
      </w:r>
    </w:p>
    <w:p>
      <w:pPr>
        <w:pStyle w:val="null3"/>
      </w:pPr>
      <w:r>
        <w:rPr>
          <w:rFonts w:ascii="仿宋_GB2312" w:hAnsi="仿宋_GB2312" w:cs="仿宋_GB2312" w:eastAsia="仿宋_GB2312"/>
        </w:rPr>
        <w:t>4、税收缴纳证明：供应商提供已缴纳的2026年1⽉⾄今⾄少⼀个⽉的纳税证明或完税证明（任意税种，时间以税款 所属 ⽇期为准）证明应有税务机关或代收机关的公章或业务专⽤章）；依法免税的单位应提供 相关⽂件证明</w:t>
      </w:r>
    </w:p>
    <w:p>
      <w:pPr>
        <w:pStyle w:val="null3"/>
      </w:pPr>
      <w:r>
        <w:rPr>
          <w:rFonts w:ascii="仿宋_GB2312" w:hAnsi="仿宋_GB2312" w:cs="仿宋_GB2312" w:eastAsia="仿宋_GB2312"/>
        </w:rPr>
        <w:t>5、社会保障资⾦缴纳证明：供应商提供已缴存的2026年1⽉⾄今⾄少⼀个⽉的社会保障资⾦缴存单据或社保机构开具的社会保险参保缴费情况证明，依法不需要缴纳社会保障资⾦的单位应提供相关证明材料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6、书⾯声明：供应商在近三年经营活动中没有重⼤违法记录的声明</w:t>
      </w:r>
    </w:p>
    <w:p>
      <w:pPr>
        <w:pStyle w:val="null3"/>
      </w:pPr>
      <w:r>
        <w:rPr>
          <w:rFonts w:ascii="仿宋_GB2312" w:hAnsi="仿宋_GB2312" w:cs="仿宋_GB2312" w:eastAsia="仿宋_GB2312"/>
        </w:rPr>
        <w:t>7、相关信⽤查询：供应商不得为“信⽤中国”⽹站（www.creditchina.gov.cn）中列⼊失信被执⾏⼈和重⼤税收违 法失信主体的供应商，不得为中国政府采购⽹（www.ccgp.gov.cn）政府采购严重违法失信⾏ 为记录名单中被财政部⻔禁⽌参加政府采购活动的供应商</w:t>
      </w:r>
    </w:p>
    <w:p>
      <w:pPr>
        <w:pStyle w:val="null3"/>
      </w:pPr>
      <w:r>
        <w:rPr>
          <w:rFonts w:ascii="仿宋_GB2312" w:hAnsi="仿宋_GB2312" w:cs="仿宋_GB2312" w:eastAsia="仿宋_GB2312"/>
        </w:rPr>
        <w:t>8、供应商企业关系关联承诺书：单位负责⼈为同⼀⼈或者存在控股、管理关系的不同单位不得同时磋商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铜川高新实验学校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铜川市新区长青南路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15009198007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采购包1：444,700.00元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代理服务费收费标准：采购代理服务费依据：《国家发展改革委关于进一步放开建设项目专业服务价格的通知》（发改价格〔2015〕299号），双方协商采购代理服务费按 成交价的1.4% 进行收费。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铜川高新实验学校</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铜川高新实验学校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铜川高新实验学校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甲乙双方协商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国家安全质量标准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2026年扩容改造设备部分,详见采购清单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444,700.00</w:t>
      </w:r>
    </w:p>
    <w:p>
      <w:pPr>
        <w:pStyle w:val="null3"/>
      </w:pPr>
      <w:r>
        <w:rPr>
          <w:rFonts w:ascii="仿宋_GB2312" w:hAnsi="仿宋_GB2312" w:cs="仿宋_GB2312" w:eastAsia="仿宋_GB2312"/>
        </w:rPr>
        <w:t>采购包最高限价（元）: 444,700.00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2026年扩容改造设备部分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444,700.00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标的名称：2026年扩容改造设备部分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30"/>
              <w:gridCol w:w="508"/>
              <w:gridCol w:w="1384"/>
              <w:gridCol w:w="330"/>
            </w:tblGrid>
            <w:tr>
              <w:tc>
                <w:tcPr>
                  <w:tcW w:type="dxa" w:w="2552"/>
                  <w:gridSpan w:val="4"/>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2026年扩容改造设备部分清单</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参数功能</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智慧一体机（带黑板及视频展台）</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一、整体设计</w:t>
                  </w:r>
                  <w:r>
                    <w:br/>
                  </w:r>
                  <w:r>
                    <w:rPr>
                      <w:rFonts w:ascii="仿宋_GB2312" w:hAnsi="仿宋_GB2312" w:cs="仿宋_GB2312" w:eastAsia="仿宋_GB2312"/>
                      <w:sz w:val="19"/>
                      <w:color w:val="000000"/>
                    </w:rPr>
                    <w:t xml:space="preserve"> 1.设备外壳材质为全金属，外观采用三拼接平面一体化设计，其整体尺寸不小于86寸。</w:t>
                  </w:r>
                  <w:r>
                    <w:br/>
                  </w:r>
                  <w:r>
                    <w:rPr>
                      <w:rFonts w:ascii="仿宋_GB2312" w:hAnsi="仿宋_GB2312" w:cs="仿宋_GB2312" w:eastAsia="仿宋_GB2312"/>
                      <w:sz w:val="19"/>
                      <w:color w:val="000000"/>
                    </w:rPr>
                    <w:t xml:space="preserve"> 2.整机支持进行40点或以上触控及书写划线。</w:t>
                  </w:r>
                  <w:r>
                    <w:br/>
                  </w:r>
                  <w:r>
                    <w:rPr>
                      <w:rFonts w:ascii="仿宋_GB2312" w:hAnsi="仿宋_GB2312" w:cs="仿宋_GB2312" w:eastAsia="仿宋_GB2312"/>
                      <w:sz w:val="19"/>
                      <w:color w:val="000000"/>
                    </w:rPr>
                    <w:t xml:space="preserve"> 3.整机副屏支持使用普通粉笔，液体粉笔、成膜笔等多种媒介进行板书书写。</w:t>
                  </w:r>
                  <w:r>
                    <w:br/>
                  </w:r>
                  <w:r>
                    <w:rPr>
                      <w:rFonts w:ascii="仿宋_GB2312" w:hAnsi="仿宋_GB2312" w:cs="仿宋_GB2312" w:eastAsia="仿宋_GB2312"/>
                      <w:sz w:val="19"/>
                      <w:color w:val="000000"/>
                    </w:rPr>
                    <w:t xml:space="preserve"> 4.整机视网膜蓝光危害需符合GB40070-2021教学多媒体产品显示技术要求，满足IECTR62778:2014蓝光危害RG0级别。</w:t>
                  </w:r>
                  <w:r>
                    <w:br/>
                  </w:r>
                  <w:r>
                    <w:rPr>
                      <w:rFonts w:ascii="仿宋_GB2312" w:hAnsi="仿宋_GB2312" w:cs="仿宋_GB2312" w:eastAsia="仿宋_GB2312"/>
                      <w:sz w:val="19"/>
                      <w:color w:val="000000"/>
                    </w:rPr>
                    <w:t xml:space="preserve"> 5.整机具备高级音效设置功能，可对左右声道的平衡进行调节；具备AI环绕声功能，支持三档强弱调节。</w:t>
                  </w:r>
                  <w:r>
                    <w:br/>
                  </w:r>
                  <w:r>
                    <w:rPr>
                      <w:rFonts w:ascii="仿宋_GB2312" w:hAnsi="仿宋_GB2312" w:cs="仿宋_GB2312" w:eastAsia="仿宋_GB2312"/>
                      <w:sz w:val="19"/>
                      <w:color w:val="000000"/>
                    </w:rPr>
                    <w:t xml:space="preserve"> 6.支持标准、听力、观影和AI空间感知音效模式，能自动生成符合当前教室物理环境的频段、音量、音效。</w:t>
                  </w:r>
                  <w:r>
                    <w:br/>
                  </w:r>
                  <w:r>
                    <w:rPr>
                      <w:rFonts w:ascii="仿宋_GB2312" w:hAnsi="仿宋_GB2312" w:cs="仿宋_GB2312" w:eastAsia="仿宋_GB2312"/>
                      <w:sz w:val="19"/>
                      <w:color w:val="000000"/>
                    </w:rPr>
                    <w:t xml:space="preserve"> 7.整机CPU芯片，Wi-Fi与蓝牙芯片、摄像头图像处理芯片、均采用国产自主芯片。</w:t>
                  </w:r>
                  <w:r>
                    <w:br/>
                  </w:r>
                  <w:r>
                    <w:rPr>
                      <w:rFonts w:ascii="仿宋_GB2312" w:hAnsi="仿宋_GB2312" w:cs="仿宋_GB2312" w:eastAsia="仿宋_GB2312"/>
                      <w:sz w:val="19"/>
                      <w:color w:val="000000"/>
                    </w:rPr>
                    <w:t xml:space="preserve"> 8.整机内置非独立外扩展的4阵列麦克风，拾音距离≥10m。</w:t>
                  </w:r>
                  <w:r>
                    <w:br/>
                  </w:r>
                  <w:r>
                    <w:rPr>
                      <w:rFonts w:ascii="仿宋_GB2312" w:hAnsi="仿宋_GB2312" w:cs="仿宋_GB2312" w:eastAsia="仿宋_GB2312"/>
                      <w:sz w:val="19"/>
                      <w:color w:val="000000"/>
                    </w:rPr>
                    <w:t xml:space="preserve"> 9.侧置接口至少包含2个HDMI接口、1个RS232接口、1个USB接口用于输入；1个音频输出接口、1个触控USB输出接口用于输出；前置输入接口至少包含1个Type-C接口和2个普通USB接口。</w:t>
                  </w:r>
                  <w:r>
                    <w:br/>
                  </w:r>
                  <w:r>
                    <w:rPr>
                      <w:rFonts w:ascii="仿宋_GB2312" w:hAnsi="仿宋_GB2312" w:cs="仿宋_GB2312" w:eastAsia="仿宋_GB2312"/>
                      <w:sz w:val="19"/>
                      <w:color w:val="000000"/>
                    </w:rPr>
                    <w:t xml:space="preserve"> 10.整机内置非独立摄像头，摄像头数量≥1个，可拍摄≥1600万像素的照片。支持人脸识别进行登录账号操作。</w:t>
                  </w:r>
                  <w:r>
                    <w:br/>
                  </w:r>
                  <w:r>
                    <w:rPr>
                      <w:rFonts w:ascii="仿宋_GB2312" w:hAnsi="仿宋_GB2312" w:cs="仿宋_GB2312" w:eastAsia="仿宋_GB2312"/>
                      <w:sz w:val="19"/>
                      <w:color w:val="000000"/>
                    </w:rPr>
                    <w:t xml:space="preserve"> 11.整机设备内置2.2声道扬声器，顶置朝前发声，最大功率≥80W。扩声系统语言传输指数（STIPA）≥0.65。符合国标GB/T45657-2025（信息化教学环境视听技术要求）中交互型教室扩声系统的声学特性指标要求。</w:t>
                  </w:r>
                  <w:r>
                    <w:br/>
                  </w:r>
                  <w:r>
                    <w:rPr>
                      <w:rFonts w:ascii="仿宋_GB2312" w:hAnsi="仿宋_GB2312" w:cs="仿宋_GB2312" w:eastAsia="仿宋_GB2312"/>
                      <w:sz w:val="19"/>
                      <w:color w:val="000000"/>
                    </w:rPr>
                    <w:t xml:space="preserve"> 12.整机无线模块（Wi-Fi和蓝牙）采用独立模块化设计，无需拆卸整机后壳即可独立拆装。</w:t>
                  </w:r>
                  <w:r>
                    <w:br/>
                  </w:r>
                  <w:r>
                    <w:rPr>
                      <w:rFonts w:ascii="仿宋_GB2312" w:hAnsi="仿宋_GB2312" w:cs="仿宋_GB2312" w:eastAsia="仿宋_GB2312"/>
                      <w:sz w:val="19"/>
                      <w:color w:val="000000"/>
                    </w:rPr>
                    <w:t xml:space="preserve"> 13.整机屏幕中心亮度观看可视角水平≥120°,垂直可视角≥60°,需符合GB40070-2021关于亮度可视角要求。</w:t>
                  </w:r>
                  <w:r>
                    <w:br/>
                  </w:r>
                  <w:r>
                    <w:rPr>
                      <w:rFonts w:ascii="仿宋_GB2312" w:hAnsi="仿宋_GB2312" w:cs="仿宋_GB2312" w:eastAsia="仿宋_GB2312"/>
                      <w:sz w:val="19"/>
                      <w:color w:val="000000"/>
                    </w:rPr>
                    <w:t xml:space="preserve"> 14.整机白场画面下亮度均匀性≥85%。需符合GB40070-2021关于亮度均匀性（电视视频显示系统）要求。</w:t>
                  </w:r>
                  <w:r>
                    <w:br/>
                  </w:r>
                  <w:r>
                    <w:rPr>
                      <w:rFonts w:ascii="仿宋_GB2312" w:hAnsi="仿宋_GB2312" w:cs="仿宋_GB2312" w:eastAsia="仿宋_GB2312"/>
                      <w:sz w:val="19"/>
                      <w:color w:val="000000"/>
                    </w:rPr>
                    <w:t xml:space="preserve"> 15.整机需满足国标GB/T45657-2025（信息化教学环境视听技术要求）中视觉健康舒适度指标≤2的要求，以保障师生用眼安全。</w:t>
                  </w:r>
                  <w:r>
                    <w:br/>
                  </w:r>
                  <w:r>
                    <w:rPr>
                      <w:rFonts w:ascii="仿宋_GB2312" w:hAnsi="仿宋_GB2312" w:cs="仿宋_GB2312" w:eastAsia="仿宋_GB2312"/>
                      <w:sz w:val="19"/>
                      <w:color w:val="000000"/>
                    </w:rPr>
                    <w:t xml:space="preserve"> 二、整机功能</w:t>
                  </w:r>
                  <w:r>
                    <w:br/>
                  </w:r>
                  <w:r>
                    <w:rPr>
                      <w:rFonts w:ascii="仿宋_GB2312" w:hAnsi="仿宋_GB2312" w:cs="仿宋_GB2312" w:eastAsia="仿宋_GB2312"/>
                      <w:sz w:val="19"/>
                      <w:color w:val="000000"/>
                    </w:rPr>
                    <w:t xml:space="preserve"> 1.整机具备系统还原功能，系统还原可单独还原PC系统，单独还原整机系统。</w:t>
                  </w:r>
                  <w:r>
                    <w:br/>
                  </w:r>
                  <w:r>
                    <w:rPr>
                      <w:rFonts w:ascii="仿宋_GB2312" w:hAnsi="仿宋_GB2312" w:cs="仿宋_GB2312" w:eastAsia="仿宋_GB2312"/>
                      <w:sz w:val="19"/>
                      <w:color w:val="000000"/>
                    </w:rPr>
                    <w:t xml:space="preserve"> 2.整机具备熄屏扩声功能，在关闭显示部分的情况下可播放音频及本地扩音。</w:t>
                  </w:r>
                  <w:r>
                    <w:br/>
                  </w:r>
                  <w:r>
                    <w:rPr>
                      <w:rFonts w:ascii="仿宋_GB2312" w:hAnsi="仿宋_GB2312" w:cs="仿宋_GB2312" w:eastAsia="仿宋_GB2312"/>
                      <w:sz w:val="19"/>
                      <w:color w:val="000000"/>
                    </w:rPr>
                    <w:t xml:space="preserve"> 3.整机全通道侧边栏快捷菜单至少包含批注、降半屏、截屏、放大镜、倒计时、日历、聚光灯、秒表等工具。</w:t>
                  </w:r>
                  <w:r>
                    <w:br/>
                  </w:r>
                  <w:r>
                    <w:rPr>
                      <w:rFonts w:ascii="仿宋_GB2312" w:hAnsi="仿宋_GB2312" w:cs="仿宋_GB2312" w:eastAsia="仿宋_GB2312"/>
                      <w:sz w:val="19"/>
                      <w:color w:val="000000"/>
                    </w:rPr>
                    <w:t xml:space="preserve"> 4.支持自定义图像设置，可对对比度、屏幕色温、图像亮度、亮度范围、色彩空间调节设置。</w:t>
                  </w:r>
                  <w:r>
                    <w:br/>
                  </w:r>
                  <w:r>
                    <w:rPr>
                      <w:rFonts w:ascii="仿宋_GB2312" w:hAnsi="仿宋_GB2312" w:cs="仿宋_GB2312" w:eastAsia="仿宋_GB2312"/>
                      <w:sz w:val="19"/>
                      <w:color w:val="000000"/>
                    </w:rPr>
                    <w:t xml:space="preserve"> 5.支持智能板擦功能，系统可根据触控物体的形状自动识别出实物板擦，可擦除电子白板中的内容。</w:t>
                  </w:r>
                  <w:r>
                    <w:br/>
                  </w:r>
                  <w:r>
                    <w:rPr>
                      <w:rFonts w:ascii="仿宋_GB2312" w:hAnsi="仿宋_GB2312" w:cs="仿宋_GB2312" w:eastAsia="仿宋_GB2312"/>
                      <w:sz w:val="19"/>
                      <w:color w:val="000000"/>
                    </w:rPr>
                    <w:t xml:space="preserve"> 6.整机支持蓝牙Bluetooth5.4标准，Wi-Fi制式支持IEEE802.11a/b/g/n/ac/ax；支持版本Wi-Fi6。</w:t>
                  </w:r>
                  <w:r>
                    <w:br/>
                  </w:r>
                  <w:r>
                    <w:rPr>
                      <w:rFonts w:ascii="仿宋_GB2312" w:hAnsi="仿宋_GB2312" w:cs="仿宋_GB2312" w:eastAsia="仿宋_GB2312"/>
                      <w:sz w:val="19"/>
                      <w:color w:val="000000"/>
                    </w:rPr>
                    <w:t xml:space="preserve"> 7.整机内置传屏接收模块，整机不需要连接任何附加设备，可实现外部电脑、手机设备的音视频信号实时传输到整机上；</w:t>
                  </w:r>
                  <w:r>
                    <w:br/>
                  </w:r>
                  <w:r>
                    <w:rPr>
                      <w:rFonts w:ascii="仿宋_GB2312" w:hAnsi="仿宋_GB2312" w:cs="仿宋_GB2312" w:eastAsia="仿宋_GB2312"/>
                      <w:sz w:val="19"/>
                      <w:color w:val="000000"/>
                    </w:rPr>
                    <w:t xml:space="preserve"> 8.整机内置文件传输应用，支持通过扫码、wifi等方式实现文件传输功能。</w:t>
                  </w:r>
                  <w:r>
                    <w:br/>
                  </w:r>
                  <w:r>
                    <w:rPr>
                      <w:rFonts w:ascii="仿宋_GB2312" w:hAnsi="仿宋_GB2312" w:cs="仿宋_GB2312" w:eastAsia="仿宋_GB2312"/>
                      <w:sz w:val="19"/>
                      <w:color w:val="000000"/>
                    </w:rPr>
                    <w:t xml:space="preserve"> 9.整机侧边栏内置自习工具，通过整机麦克风监测教室中学生音量大小，当学生音量大于阈值时，屏幕自动弹窗提醒进行自习纪律干预。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19"/>
                      <w:color w:val="000000"/>
                    </w:rPr>
                    <w:t xml:space="preserve"> 10.整机自带AI书写美化能力，智能识别批注的书写轨迹，进行笔锋智能美化，模拟纸上书写的起笔、行笔和收笔效果。</w:t>
                  </w:r>
                  <w:r>
                    <w:br/>
                  </w:r>
                  <w:r>
                    <w:rPr>
                      <w:rFonts w:ascii="仿宋_GB2312" w:hAnsi="仿宋_GB2312" w:cs="仿宋_GB2312" w:eastAsia="仿宋_GB2312"/>
                      <w:sz w:val="19"/>
                      <w:color w:val="000000"/>
                    </w:rPr>
                    <w:t xml:space="preserve"> 11.整机内置AI智能体，支持个性化设定角色信息包括角色性格、技能与头像信息，支持语音和文字两种方式与智能体进行对话交互。</w:t>
                  </w:r>
                  <w:r>
                    <w:br/>
                  </w:r>
                  <w:r>
                    <w:rPr>
                      <w:rFonts w:ascii="仿宋_GB2312" w:hAnsi="仿宋_GB2312" w:cs="仿宋_GB2312" w:eastAsia="仿宋_GB2312"/>
                      <w:sz w:val="19"/>
                      <w:color w:val="000000"/>
                    </w:rPr>
                    <w:t xml:space="preserve"> 三、内置电脑</w:t>
                  </w:r>
                  <w:r>
                    <w:br/>
                  </w:r>
                  <w:r>
                    <w:rPr>
                      <w:rFonts w:ascii="仿宋_GB2312" w:hAnsi="仿宋_GB2312" w:cs="仿宋_GB2312" w:eastAsia="仿宋_GB2312"/>
                      <w:sz w:val="19"/>
                      <w:color w:val="000000"/>
                    </w:rPr>
                    <w:t xml:space="preserve"> 1.采用抽拉内置式模块化电脑，可实现无单独接线的插拔，按压式卡扣方式，无需工具即可快速拆卸电脑模块。</w:t>
                  </w:r>
                  <w:r>
                    <w:br/>
                  </w:r>
                  <w:r>
                    <w:rPr>
                      <w:rFonts w:ascii="仿宋_GB2312" w:hAnsi="仿宋_GB2312" w:cs="仿宋_GB2312" w:eastAsia="仿宋_GB2312"/>
                      <w:sz w:val="19"/>
                      <w:color w:val="000000"/>
                    </w:rPr>
                    <w:t xml:space="preserve"> 2.CPU；主频≥2.0Ghz，核心数≥8核心，线程数≥12线程，三级缓存≥12M</w:t>
                  </w:r>
                  <w:r>
                    <w:br/>
                  </w:r>
                  <w:r>
                    <w:rPr>
                      <w:rFonts w:ascii="仿宋_GB2312" w:hAnsi="仿宋_GB2312" w:cs="仿宋_GB2312" w:eastAsia="仿宋_GB2312"/>
                      <w:sz w:val="19"/>
                      <w:color w:val="000000"/>
                    </w:rPr>
                    <w:t xml:space="preserve"> 3：内存：8GBDDR4笔记本内存或以上配置。</w:t>
                  </w:r>
                  <w:r>
                    <w:br/>
                  </w:r>
                  <w:r>
                    <w:rPr>
                      <w:rFonts w:ascii="仿宋_GB2312" w:hAnsi="仿宋_GB2312" w:cs="仿宋_GB2312" w:eastAsia="仿宋_GB2312"/>
                      <w:sz w:val="19"/>
                      <w:color w:val="000000"/>
                    </w:rPr>
                    <w:t xml:space="preserve"> 4：硬盘：256GBSSD固态硬盘或以上配置。</w:t>
                  </w:r>
                  <w:r>
                    <w:br/>
                  </w:r>
                  <w:r>
                    <w:rPr>
                      <w:rFonts w:ascii="仿宋_GB2312" w:hAnsi="仿宋_GB2312" w:cs="仿宋_GB2312" w:eastAsia="仿宋_GB2312"/>
                      <w:sz w:val="19"/>
                      <w:color w:val="000000"/>
                    </w:rPr>
                    <w:t xml:space="preserve"> 四、白板软件</w:t>
                  </w:r>
                  <w:r>
                    <w:br/>
                  </w:r>
                  <w:r>
                    <w:rPr>
                      <w:rFonts w:ascii="仿宋_GB2312" w:hAnsi="仿宋_GB2312" w:cs="仿宋_GB2312" w:eastAsia="仿宋_GB2312"/>
                      <w:sz w:val="19"/>
                      <w:color w:val="000000"/>
                    </w:rPr>
                    <w:t xml:space="preserve"> .提供拼音卡片、古诗词、汉字卡片、中文听写、字母卡片、英汉词典、英文听写、化学实验、化学方程式、物理实验等至少15种学科工具，可一键插入课件。</w:t>
                  </w:r>
                  <w:r>
                    <w:br/>
                  </w:r>
                  <w:r>
                    <w:rPr>
                      <w:rFonts w:ascii="仿宋_GB2312" w:hAnsi="仿宋_GB2312" w:cs="仿宋_GB2312" w:eastAsia="仿宋_GB2312"/>
                      <w:sz w:val="19"/>
                      <w:color w:val="000000"/>
                    </w:rPr>
                    <w:t xml:space="preserve"> 2.具备交互表格功能，课件可插入表格，预置不少于5种表格样式，支持边框、底纹设置，可合并单元格。表格支持输入文本，且根据文本内容可一键自动调整行列宽高。表格通过表格首行首列交接处的按键可一键增加行列。</w:t>
                  </w:r>
                  <w:r>
                    <w:br/>
                  </w:r>
                  <w:r>
                    <w:rPr>
                      <w:rFonts w:ascii="仿宋_GB2312" w:hAnsi="仿宋_GB2312" w:cs="仿宋_GB2312" w:eastAsia="仿宋_GB2312"/>
                      <w:sz w:val="19"/>
                      <w:color w:val="000000"/>
                    </w:rPr>
                    <w:t xml:space="preserve"> 3.支持对多对象的叠放层级、对齐方式进行设置，可批量组合、锁定课件对象。对象移动时自动弹出对齐线及等距线辅助排版。</w:t>
                  </w:r>
                  <w:r>
                    <w:br/>
                  </w:r>
                  <w:r>
                    <w:rPr>
                      <w:rFonts w:ascii="仿宋_GB2312" w:hAnsi="仿宋_GB2312" w:cs="仿宋_GB2312" w:eastAsia="仿宋_GB2312"/>
                      <w:sz w:val="19"/>
                      <w:color w:val="000000"/>
                    </w:rPr>
                    <w:t xml:space="preserve"> 4.支持给课件内所有的元素对象创建超链接，可链接到对象所在课件的相关页面、网页。</w:t>
                  </w:r>
                  <w:r>
                    <w:br/>
                  </w:r>
                  <w:r>
                    <w:rPr>
                      <w:rFonts w:ascii="仿宋_GB2312" w:hAnsi="仿宋_GB2312" w:cs="仿宋_GB2312" w:eastAsia="仿宋_GB2312"/>
                      <w:sz w:val="19"/>
                      <w:color w:val="000000"/>
                    </w:rPr>
                    <w:t xml:space="preserve"> 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r>
                    <w:br/>
                  </w:r>
                  <w:r>
                    <w:rPr>
                      <w:rFonts w:ascii="仿宋_GB2312" w:hAnsi="仿宋_GB2312" w:cs="仿宋_GB2312" w:eastAsia="仿宋_GB2312"/>
                      <w:sz w:val="19"/>
                      <w:color w:val="000000"/>
                    </w:rPr>
                    <w:t xml:space="preserve"> 6.支持将互动课件导出为pptx、pdf、H5或web链接。导出的课件支持在多终端(包含windows、Macos、iOS、安卓、麒麟桌面操作系统)进行二次编辑。</w:t>
                  </w:r>
                  <w:r>
                    <w:br/>
                  </w:r>
                  <w:r>
                    <w:rPr>
                      <w:rFonts w:ascii="仿宋_GB2312" w:hAnsi="仿宋_GB2312" w:cs="仿宋_GB2312" w:eastAsia="仿宋_GB2312"/>
                      <w:sz w:val="19"/>
                      <w:color w:val="000000"/>
                    </w:rPr>
                    <w:t xml:space="preserve"> 7.支持创建智能选词填空游戏，填空选项支持并列选项，并列选项支持答案互换，教师可编辑填空题、题干以及相应的答案选项，将选项拖到对应题干空白处，系统自动判断答案正误。系统提供不少于10种游戏模板，且模板样式支持自定义修改。</w:t>
                  </w:r>
                  <w:r>
                    <w:br/>
                  </w:r>
                  <w:r>
                    <w:rPr>
                      <w:rFonts w:ascii="仿宋_GB2312" w:hAnsi="仿宋_GB2312" w:cs="仿宋_GB2312" w:eastAsia="仿宋_GB2312"/>
                      <w:sz w:val="19"/>
                      <w:color w:val="000000"/>
                    </w:rPr>
                    <w:t xml:space="preserve"> 8.内置不少于70个课件主题模板供教师选用，且教师可自定义课件背景。</w:t>
                  </w:r>
                  <w:r>
                    <w:br/>
                  </w:r>
                  <w:r>
                    <w:rPr>
                      <w:rFonts w:ascii="仿宋_GB2312" w:hAnsi="仿宋_GB2312" w:cs="仿宋_GB2312" w:eastAsia="仿宋_GB2312"/>
                      <w:sz w:val="19"/>
                      <w:color w:val="000000"/>
                    </w:rPr>
                    <w:t xml:space="preserve"> 9.支持插入文本框输入文本。支持文本样式设置：字体、字号、颜色、加粗、倾斜、下划线、上下角标、项目符号。支持段落样式设置：顶部对齐、垂直居中对齐、底端对齐、行高、文本缩进等进行设置。文本、段落的样式支持格式刷复制。预置不少于15种艺术字效果，用来调用美化课件。</w:t>
                  </w:r>
                  <w:r>
                    <w:br/>
                  </w:r>
                  <w:r>
                    <w:rPr>
                      <w:rFonts w:ascii="仿宋_GB2312" w:hAnsi="仿宋_GB2312" w:cs="仿宋_GB2312" w:eastAsia="仿宋_GB2312"/>
                      <w:sz w:val="19"/>
                      <w:color w:val="000000"/>
                    </w:rPr>
                    <w:t xml:space="preserve"> 10.支持PPT的原生解析，教师可将pptx课件转化为互动课件。支持单份导入的导入方式，保留pptx原文件中的文字、图片、表格等对象及动画的可编辑性，并可为课件增加互动教学元素。</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讲桌</w:t>
                  </w:r>
                </w:p>
                <w:p>
                  <w:pPr>
                    <w:pStyle w:val="null3"/>
                    <w:jc w:val="center"/>
                  </w:pPr>
                  <w:r>
                    <w:rPr>
                      <w:rFonts w:ascii="仿宋_GB2312" w:hAnsi="仿宋_GB2312" w:cs="仿宋_GB2312" w:eastAsia="仿宋_GB2312"/>
                      <w:sz w:val="22"/>
                      <w:color w:val="000000"/>
                    </w:rPr>
                    <w:t>（★为核心产品）</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1、讲台采用≥0.7厚优质冷轧钢板，木质台面采用≥12mm厚耐划防火板，两侧扶手及后背装饰板为橡木喷漆板，整体平面方便使用笔记本电脑等设备，前面两个储物抽屉方便教师使用。</w:t>
                  </w:r>
                  <w:r>
                    <w:br/>
                  </w:r>
                  <w:r>
                    <w:rPr>
                      <w:rFonts w:ascii="仿宋_GB2312" w:hAnsi="仿宋_GB2312" w:cs="仿宋_GB2312" w:eastAsia="仿宋_GB2312"/>
                      <w:sz w:val="19"/>
                      <w:color w:val="000000"/>
                    </w:rPr>
                    <w:t xml:space="preserve">  2、钢木结合材料一体成型；实木扶手，高端大气。</w:t>
                  </w:r>
                  <w:r>
                    <w:br/>
                  </w:r>
                  <w:r>
                    <w:rPr>
                      <w:rFonts w:ascii="仿宋_GB2312" w:hAnsi="仿宋_GB2312" w:cs="仿宋_GB2312" w:eastAsia="仿宋_GB2312"/>
                      <w:sz w:val="19"/>
                      <w:color w:val="000000"/>
                    </w:rPr>
                    <w:t xml:space="preserve">  3、整体采用分体式结构，（节省运费）上下节需要组装</w:t>
                  </w:r>
                  <w:r>
                    <w:br/>
                  </w:r>
                  <w:r>
                    <w:rPr>
                      <w:rFonts w:ascii="仿宋_GB2312" w:hAnsi="仿宋_GB2312" w:cs="仿宋_GB2312" w:eastAsia="仿宋_GB2312"/>
                      <w:sz w:val="19"/>
                      <w:color w:val="000000"/>
                    </w:rPr>
                    <w:t xml:space="preserve">  4、桌面预留孔位：</w:t>
                  </w:r>
                  <w:r>
                    <w:br/>
                  </w:r>
                  <w:r>
                    <w:rPr>
                      <w:rFonts w:ascii="仿宋_GB2312" w:hAnsi="仿宋_GB2312" w:cs="仿宋_GB2312" w:eastAsia="仿宋_GB2312"/>
                      <w:sz w:val="19"/>
                      <w:color w:val="000000"/>
                    </w:rPr>
                    <w:t xml:space="preserve">  5、讲台底柜无立梁、无托盘，打开柜门内部镂空设计。</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课桌椅</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．课桌：规格尺寸</w:t>
                  </w:r>
                  <w:r>
                    <w:rPr>
                      <w:rFonts w:ascii="仿宋_GB2312" w:hAnsi="仿宋_GB2312" w:cs="仿宋_GB2312" w:eastAsia="仿宋_GB2312"/>
                      <w:sz w:val="21"/>
                      <w:color w:val="000000"/>
                    </w:rPr>
                    <w:t>≥600×400×</w:t>
                  </w:r>
                  <w:r>
                    <w:rPr>
                      <w:rFonts w:ascii="仿宋_GB2312" w:hAnsi="仿宋_GB2312" w:cs="仿宋_GB2312" w:eastAsia="仿宋_GB2312"/>
                      <w:sz w:val="21"/>
                      <w:color w:val="000000"/>
                    </w:rPr>
                    <w:t>（</w:t>
                  </w:r>
                  <w:r>
                    <w:rPr>
                      <w:rFonts w:ascii="仿宋_GB2312" w:hAnsi="仿宋_GB2312" w:cs="仿宋_GB2312" w:eastAsia="仿宋_GB2312"/>
                      <w:sz w:val="21"/>
                      <w:color w:val="000000"/>
                    </w:rPr>
                    <w:t>700-760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．桌面：采用</w:t>
                  </w:r>
                  <w:r>
                    <w:rPr>
                      <w:rFonts w:ascii="仿宋_GB2312" w:hAnsi="仿宋_GB2312" w:cs="仿宋_GB2312" w:eastAsia="仿宋_GB2312"/>
                      <w:sz w:val="21"/>
                      <w:color w:val="000000"/>
                    </w:rPr>
                    <w:t>≥600×400×18mm.</w:t>
                  </w:r>
                  <w:r>
                    <w:br/>
                  </w: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．桌面注塑包边，桌面带笔槽，四角为圆角。</w:t>
                  </w:r>
                  <w:r>
                    <w:br/>
                  </w: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．书斗：规格为：</w:t>
                  </w:r>
                  <w:r>
                    <w:rPr>
                      <w:rFonts w:ascii="仿宋_GB2312" w:hAnsi="仿宋_GB2312" w:cs="仿宋_GB2312" w:eastAsia="仿宋_GB2312"/>
                      <w:sz w:val="21"/>
                      <w:color w:val="000000"/>
                    </w:rPr>
                    <w:t>≥</w:t>
                  </w:r>
                  <w:r>
                    <w:rPr>
                      <w:rFonts w:ascii="仿宋_GB2312" w:hAnsi="仿宋_GB2312" w:cs="仿宋_GB2312" w:eastAsia="仿宋_GB2312"/>
                      <w:sz w:val="21"/>
                      <w:color w:val="000000"/>
                    </w:rPr>
                    <w:t>450*300*150mm</w:t>
                  </w:r>
                  <w:r>
                    <w:rPr>
                      <w:rFonts w:ascii="仿宋_GB2312" w:hAnsi="仿宋_GB2312" w:cs="仿宋_GB2312" w:eastAsia="仿宋_GB2312"/>
                      <w:sz w:val="21"/>
                      <w:color w:val="000000"/>
                    </w:rPr>
                    <w:t>采用冷轧钢板一次性冲压成型，表面经过抛压除锈静电喷塑。</w:t>
                  </w:r>
                  <w:r>
                    <w:br/>
                  </w:r>
                  <w:r>
                    <w:rPr>
                      <w:rFonts w:ascii="仿宋_GB2312" w:hAnsi="仿宋_GB2312" w:cs="仿宋_GB2312" w:eastAsia="仿宋_GB2312"/>
                      <w:sz w:val="21"/>
                      <w:color w:val="000000"/>
                    </w:rPr>
                    <w:t xml:space="preserve"> 5</w:t>
                  </w:r>
                  <w:r>
                    <w:rPr>
                      <w:rFonts w:ascii="仿宋_GB2312" w:hAnsi="仿宋_GB2312" w:cs="仿宋_GB2312" w:eastAsia="仿宋_GB2312"/>
                      <w:sz w:val="21"/>
                      <w:color w:val="000000"/>
                    </w:rPr>
                    <w:t>．桌腿：外桌腿采用</w:t>
                  </w:r>
                  <w:r>
                    <w:rPr>
                      <w:rFonts w:ascii="仿宋_GB2312" w:hAnsi="仿宋_GB2312" w:cs="仿宋_GB2312" w:eastAsia="仿宋_GB2312"/>
                      <w:sz w:val="21"/>
                      <w:color w:val="000000"/>
                    </w:rPr>
                    <w:t>≥30×60×1.2</w:t>
                  </w:r>
                  <w:r>
                    <w:rPr>
                      <w:rFonts w:ascii="仿宋_GB2312" w:hAnsi="仿宋_GB2312" w:cs="仿宋_GB2312" w:eastAsia="仿宋_GB2312"/>
                      <w:sz w:val="21"/>
                      <w:color w:val="000000"/>
                    </w:rPr>
                    <w:t>㎜椭圆焊管，内桌腿材料为</w:t>
                  </w:r>
                  <w:r>
                    <w:rPr>
                      <w:rFonts w:ascii="仿宋_GB2312" w:hAnsi="仿宋_GB2312" w:cs="仿宋_GB2312" w:eastAsia="仿宋_GB2312"/>
                      <w:sz w:val="21"/>
                      <w:color w:val="000000"/>
                    </w:rPr>
                    <w:t>≥20×50×1.2mm</w:t>
                  </w:r>
                  <w:r>
                    <w:rPr>
                      <w:rFonts w:ascii="仿宋_GB2312" w:hAnsi="仿宋_GB2312" w:cs="仿宋_GB2312" w:eastAsia="仿宋_GB2312"/>
                      <w:sz w:val="21"/>
                      <w:color w:val="000000"/>
                    </w:rPr>
                    <w:t>椭圆焊管。</w:t>
                  </w:r>
                  <w:r>
                    <w:br/>
                  </w:r>
                  <w:r>
                    <w:rPr>
                      <w:rFonts w:ascii="仿宋_GB2312" w:hAnsi="仿宋_GB2312" w:cs="仿宋_GB2312" w:eastAsia="仿宋_GB2312"/>
                      <w:sz w:val="21"/>
                      <w:color w:val="000000"/>
                    </w:rPr>
                    <w:t xml:space="preserve"> 6</w:t>
                  </w:r>
                  <w:r>
                    <w:rPr>
                      <w:rFonts w:ascii="仿宋_GB2312" w:hAnsi="仿宋_GB2312" w:cs="仿宋_GB2312" w:eastAsia="仿宋_GB2312"/>
                      <w:sz w:val="21"/>
                      <w:color w:val="000000"/>
                    </w:rPr>
                    <w:t>．书包挂架：课桌两侧各带一个书包挂架。</w:t>
                  </w:r>
                  <w:r>
                    <w:br/>
                  </w:r>
                  <w:r>
                    <w:rPr>
                      <w:rFonts w:ascii="仿宋_GB2312" w:hAnsi="仿宋_GB2312" w:cs="仿宋_GB2312" w:eastAsia="仿宋_GB2312"/>
                      <w:sz w:val="21"/>
                      <w:color w:val="000000"/>
                    </w:rPr>
                    <w:t xml:space="preserve"> 7</w:t>
                  </w:r>
                  <w:r>
                    <w:rPr>
                      <w:rFonts w:ascii="仿宋_GB2312" w:hAnsi="仿宋_GB2312" w:cs="仿宋_GB2312" w:eastAsia="仿宋_GB2312"/>
                      <w:sz w:val="21"/>
                      <w:color w:val="000000"/>
                    </w:rPr>
                    <w:t>．椅子规格：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750*</w:t>
                  </w:r>
                  <w:r>
                    <w:rPr>
                      <w:rFonts w:ascii="仿宋_GB2312" w:hAnsi="仿宋_GB2312" w:cs="仿宋_GB2312" w:eastAsia="仿宋_GB2312"/>
                      <w:sz w:val="21"/>
                      <w:color w:val="000000"/>
                    </w:rPr>
                    <w:t>宽</w:t>
                  </w:r>
                  <w:r>
                    <w:rPr>
                      <w:rFonts w:ascii="仿宋_GB2312" w:hAnsi="仿宋_GB2312" w:cs="仿宋_GB2312" w:eastAsia="仿宋_GB2312"/>
                      <w:sz w:val="21"/>
                      <w:color w:val="000000"/>
                    </w:rPr>
                    <w:t>400*</w:t>
                  </w:r>
                  <w:r>
                    <w:rPr>
                      <w:rFonts w:ascii="仿宋_GB2312" w:hAnsi="仿宋_GB2312" w:cs="仿宋_GB2312" w:eastAsia="仿宋_GB2312"/>
                      <w:sz w:val="21"/>
                      <w:color w:val="000000"/>
                    </w:rPr>
                    <w:t>深</w:t>
                  </w:r>
                  <w:r>
                    <w:rPr>
                      <w:rFonts w:ascii="仿宋_GB2312" w:hAnsi="仿宋_GB2312" w:cs="仿宋_GB2312" w:eastAsia="仿宋_GB2312"/>
                      <w:sz w:val="21"/>
                      <w:color w:val="000000"/>
                    </w:rPr>
                    <w:t>350mm</w:t>
                  </w:r>
                  <w:r>
                    <w:br/>
                  </w:r>
                  <w:r>
                    <w:rPr>
                      <w:rFonts w:ascii="仿宋_GB2312" w:hAnsi="仿宋_GB2312" w:cs="仿宋_GB2312" w:eastAsia="仿宋_GB2312"/>
                      <w:sz w:val="21"/>
                      <w:color w:val="000000"/>
                    </w:rPr>
                    <w:t xml:space="preserve"> 8</w:t>
                  </w:r>
                  <w:r>
                    <w:rPr>
                      <w:rFonts w:ascii="仿宋_GB2312" w:hAnsi="仿宋_GB2312" w:cs="仿宋_GB2312" w:eastAsia="仿宋_GB2312"/>
                      <w:sz w:val="21"/>
                      <w:color w:val="000000"/>
                    </w:rPr>
                    <w:t>．椅腿：外管材料</w:t>
                  </w:r>
                  <w:r>
                    <w:rPr>
                      <w:rFonts w:ascii="仿宋_GB2312" w:hAnsi="仿宋_GB2312" w:cs="仿宋_GB2312" w:eastAsia="仿宋_GB2312"/>
                      <w:sz w:val="21"/>
                      <w:color w:val="000000"/>
                    </w:rPr>
                    <w:t>≥60×30×1.2mm</w:t>
                  </w:r>
                  <w:r>
                    <w:rPr>
                      <w:rFonts w:ascii="仿宋_GB2312" w:hAnsi="仿宋_GB2312" w:cs="仿宋_GB2312" w:eastAsia="仿宋_GB2312"/>
                      <w:sz w:val="21"/>
                      <w:color w:val="000000"/>
                    </w:rPr>
                    <w:t>椭圆焊管，内管材料为</w:t>
                  </w:r>
                  <w:r>
                    <w:rPr>
                      <w:rFonts w:ascii="仿宋_GB2312" w:hAnsi="仿宋_GB2312" w:cs="仿宋_GB2312" w:eastAsia="仿宋_GB2312"/>
                      <w:sz w:val="21"/>
                      <w:color w:val="000000"/>
                    </w:rPr>
                    <w:t>≥</w:t>
                  </w:r>
                  <w:r>
                    <w:rPr>
                      <w:rFonts w:ascii="仿宋_GB2312" w:hAnsi="仿宋_GB2312" w:cs="仿宋_GB2312" w:eastAsia="仿宋_GB2312"/>
                      <w:sz w:val="21"/>
                      <w:color w:val="000000"/>
                    </w:rPr>
                    <w:t>20×50×1.2</w:t>
                  </w:r>
                  <w:r>
                    <w:rPr>
                      <w:rFonts w:ascii="仿宋_GB2312" w:hAnsi="仿宋_GB2312" w:cs="仿宋_GB2312" w:eastAsia="仿宋_GB2312"/>
                      <w:sz w:val="21"/>
                      <w:color w:val="000000"/>
                    </w:rPr>
                    <w:t>㎜椭圆焊管；凳下横拉档材料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20*50×1.2</w:t>
                  </w:r>
                  <w:r>
                    <w:rPr>
                      <w:rFonts w:ascii="仿宋_GB2312" w:hAnsi="仿宋_GB2312" w:cs="仿宋_GB2312" w:eastAsia="仿宋_GB2312"/>
                      <w:sz w:val="21"/>
                      <w:color w:val="000000"/>
                    </w:rPr>
                    <w:t>㎜椭圆焊管。</w:t>
                  </w:r>
                  <w:r>
                    <w:br/>
                  </w:r>
                  <w:r>
                    <w:rPr>
                      <w:rFonts w:ascii="仿宋_GB2312" w:hAnsi="仿宋_GB2312" w:cs="仿宋_GB2312" w:eastAsia="仿宋_GB2312"/>
                      <w:sz w:val="21"/>
                      <w:color w:val="000000"/>
                    </w:rPr>
                    <w:t xml:space="preserve"> 9</w:t>
                  </w:r>
                  <w:r>
                    <w:rPr>
                      <w:rFonts w:ascii="仿宋_GB2312" w:hAnsi="仿宋_GB2312" w:cs="仿宋_GB2312" w:eastAsia="仿宋_GB2312"/>
                      <w:sz w:val="21"/>
                      <w:color w:val="000000"/>
                    </w:rPr>
                    <w:t>．椅面、靠背：材质采用</w:t>
                  </w:r>
                  <w:r>
                    <w:rPr>
                      <w:rFonts w:ascii="仿宋_GB2312" w:hAnsi="仿宋_GB2312" w:cs="仿宋_GB2312" w:eastAsia="仿宋_GB2312"/>
                      <w:sz w:val="21"/>
                      <w:color w:val="000000"/>
                    </w:rPr>
                    <w:t>≥18mm</w:t>
                  </w:r>
                  <w:r>
                    <w:rPr>
                      <w:rFonts w:ascii="仿宋_GB2312" w:hAnsi="仿宋_GB2312" w:cs="仿宋_GB2312" w:eastAsia="仿宋_GB2312"/>
                      <w:sz w:val="21"/>
                      <w:color w:val="000000"/>
                    </w:rPr>
                    <w:t>，板材环保等级达到</w:t>
                  </w:r>
                  <w:r>
                    <w:rPr>
                      <w:rFonts w:ascii="仿宋_GB2312" w:hAnsi="仿宋_GB2312" w:cs="仿宋_GB2312" w:eastAsia="仿宋_GB2312"/>
                      <w:sz w:val="21"/>
                      <w:color w:val="000000"/>
                    </w:rPr>
                    <w:t>E1</w:t>
                  </w:r>
                  <w:r>
                    <w:rPr>
                      <w:rFonts w:ascii="仿宋_GB2312" w:hAnsi="仿宋_GB2312" w:cs="仿宋_GB2312" w:eastAsia="仿宋_GB2312"/>
                      <w:sz w:val="21"/>
                      <w:color w:val="000000"/>
                    </w:rPr>
                    <w:t>级密度板注塑封边。</w:t>
                  </w:r>
                  <w:r>
                    <w:br/>
                  </w:r>
                  <w:r>
                    <w:rPr>
                      <w:rFonts w:ascii="仿宋_GB2312" w:hAnsi="仿宋_GB2312" w:cs="仿宋_GB2312" w:eastAsia="仿宋_GB2312"/>
                      <w:sz w:val="21"/>
                      <w:color w:val="000000"/>
                    </w:rPr>
                    <w:t xml:space="preserve"> 10</w:t>
                  </w:r>
                  <w:r>
                    <w:rPr>
                      <w:rFonts w:ascii="仿宋_GB2312" w:hAnsi="仿宋_GB2312" w:cs="仿宋_GB2312" w:eastAsia="仿宋_GB2312"/>
                      <w:sz w:val="21"/>
                      <w:color w:val="000000"/>
                    </w:rPr>
                    <w:t>．桌椅脚套：采用环保</w:t>
                  </w:r>
                  <w:r>
                    <w:rPr>
                      <w:rFonts w:ascii="仿宋_GB2312" w:hAnsi="仿宋_GB2312" w:cs="仿宋_GB2312" w:eastAsia="仿宋_GB2312"/>
                      <w:sz w:val="21"/>
                      <w:color w:val="000000"/>
                    </w:rPr>
                    <w:t>PP</w:t>
                  </w:r>
                  <w:r>
                    <w:rPr>
                      <w:rFonts w:ascii="仿宋_GB2312" w:hAnsi="仿宋_GB2312" w:cs="仿宋_GB2312" w:eastAsia="仿宋_GB2312"/>
                      <w:sz w:val="21"/>
                      <w:color w:val="000000"/>
                    </w:rPr>
                    <w:t>工程塑料，内外双堵不易脱落。</w:t>
                  </w:r>
                  <w:r>
                    <w:br/>
                  </w:r>
                  <w:r>
                    <w:rPr>
                      <w:rFonts w:ascii="仿宋_GB2312" w:hAnsi="仿宋_GB2312" w:cs="仿宋_GB2312" w:eastAsia="仿宋_GB2312"/>
                      <w:sz w:val="21"/>
                      <w:color w:val="000000"/>
                    </w:rPr>
                    <w:t>焊接及表面处理：产品焊接采用</w:t>
                  </w:r>
                  <w:r>
                    <w:rPr>
                      <w:rFonts w:ascii="仿宋_GB2312" w:hAnsi="仿宋_GB2312" w:cs="仿宋_GB2312" w:eastAsia="仿宋_GB2312"/>
                      <w:sz w:val="21"/>
                      <w:color w:val="000000"/>
                    </w:rPr>
                    <w:t>CO2</w:t>
                  </w:r>
                  <w:r>
                    <w:rPr>
                      <w:rFonts w:ascii="仿宋_GB2312" w:hAnsi="仿宋_GB2312" w:cs="仿宋_GB2312" w:eastAsia="仿宋_GB2312"/>
                      <w:sz w:val="21"/>
                      <w:color w:val="000000"/>
                    </w:rPr>
                    <w:t>气体保护焊，要求焊缝均匀、焊点平滑、连接牢固、无脱焊、虚焊、飞溅等现象，钢制部分表面处理经除油、酸洗、磷化、防腐、除锈、喷涂处理；</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440</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护眼灯</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功率≥36W，色温≥4000K，防眩晕UGR＜16，一套由9个教室灯，3个黑板灯，一个翘板三开（含安装及布线调试）</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饮水设备</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管线机参数：额定功率≥2000W,加热方式：即热式，童锁功能（10个管线机含安装，含布水布电及原有设备的改造）</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电子琴</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键盘数量≥61，最大复音数≥128，预制伴奏数量≥260</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台式打印机</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功能：打印，打印速度（A4，普通）: ≥ 20页/分钟，支持自动双面，支持有线网络，支持多台设备共享</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彩色激光打印机</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功能：打印、复印、扫描，控制面板3.5 英寸彩色触摸屏，打印速度（A4，普通）: ≥ 25 页/分钟，双面打印 :自动</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服务器</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处理器：核心数≥四核，主频≥3.8-5.1GHz，内存≥8G,硬盘≥512G</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挂机</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匹数≥1.5匹，制冷量≥3500W，能效等级：≥3级</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r>
            <w:tr>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5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笔记本</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处理器：核心数≥八核，单核主频≥2.1GHz，内存≥8G,硬盘≥512G，屏幕≥15英寸</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铜川高新实验学校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预付款，合同签订⽣效后，达到付款条件起7个工作日内，支付合同总金额的30.0%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进度款，验收完成审计后，达到付款条件起7个工作日内，支付合同总金额的70.0%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符合功能特点和国家安全质量标准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供应商未全面履行合同义务或者发生违约，采购人会同采购中心有权终止合同，并报请政府采购监管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分项报价表.docx 法定代表人身份证明书.docx 供应商应提交的相关资格证明材料 方案.docx 响应函 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具有独⽴承担⺠事责任的能⼒的相关证明</w:t>
            </w:r>
          </w:p>
        </w:tc>
        <w:tc>
          <w:tcPr>
            <w:tcW w:type="dxa" w:w="3322"/>
          </w:tcPr>
          <w:p>
            <w:pPr>
              <w:pStyle w:val="null3"/>
            </w:pPr>
            <w:r>
              <w:rPr>
                <w:rFonts w:ascii="仿宋_GB2312" w:hAnsi="仿宋_GB2312" w:cs="仿宋_GB2312" w:eastAsia="仿宋_GB2312"/>
              </w:rPr>
              <w:t>供应商为合法注册的法⼈或其他组织或⾃然⼈，提供营业执照（或事业法 ⼈证）；⾃然⼈提供 ⾝份证明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授权合法的⼈参加采购</w:t>
            </w:r>
          </w:p>
        </w:tc>
        <w:tc>
          <w:tcPr>
            <w:tcW w:type="dxa" w:w="3322"/>
          </w:tcPr>
          <w:p>
            <w:pPr>
              <w:pStyle w:val="null3"/>
            </w:pPr>
            <w:r>
              <w:rPr>
                <w:rFonts w:ascii="仿宋_GB2312" w:hAnsi="仿宋_GB2312" w:cs="仿宋_GB2312" w:eastAsia="仿宋_GB2312"/>
              </w:rPr>
              <w:t>法定代表⼈授权书及被授权⼈⾝份证（法定代表⼈直接参与，只须提交其⾝份证明）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供应商提供2024-2025年度任意⼀年经会计事务所或审计机构审计的完整的财务审计报告或在 磋商截⽌时间前三个⽉内其开⼾银⾏出具的资信证明（附开⼾许可证或基本账⼾存款信息）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供应商提供已缴纳的2026年1⽉⾄今⾄少⼀个⽉的纳税证明或完税证明（任意税种，时间以税款 所属 ⽇期为准）证明应有税务机关或代收机关的公章或业务专⽤章）；依法免税的单位应提供 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供应商提供已缴存的2026年1⽉⾄今⾄少⼀个⽉的社会保障资⾦缴存单据或社保机构开具的社会保险参保缴费情况证明，依法不需要缴纳社会保障资⾦的单位应提供相关证明材料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供应商在近三年经营活动中没有重⼤违法记录的声明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相关信⽤查询</w:t>
            </w:r>
          </w:p>
        </w:tc>
        <w:tc>
          <w:tcPr>
            <w:tcW w:type="dxa" w:w="3322"/>
          </w:tcPr>
          <w:p>
            <w:pPr>
              <w:pStyle w:val="null3"/>
            </w:pPr>
            <w:r>
              <w:rPr>
                <w:rFonts w:ascii="仿宋_GB2312" w:hAnsi="仿宋_GB2312" w:cs="仿宋_GB2312" w:eastAsia="仿宋_GB2312"/>
              </w:rPr>
              <w:t>供应商不得为“信⽤中国”⽹站（www.creditchina.gov.cn）中列⼊失信被执⾏⼈和重⼤税收违 法失信主体的供应商，不得为中国政府采购⽹（www.ccgp.gov.cn）政府采购严重违法失信⾏ 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单位负责⼈为同⼀⼈或者存在控股、管理关系的不同单位不得同时磋商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磋商响应函盖章</w:t>
            </w:r>
          </w:p>
        </w:tc>
        <w:tc>
          <w:tcPr>
            <w:tcW w:type="dxa" w:w="3322"/>
          </w:tcPr>
          <w:p>
            <w:pPr>
              <w:pStyle w:val="null3"/>
            </w:pPr>
            <w:r>
              <w:rPr>
                <w:rFonts w:ascii="仿宋_GB2312" w:hAnsi="仿宋_GB2312" w:cs="仿宋_GB2312" w:eastAsia="仿宋_GB2312"/>
              </w:rPr>
              <w:t>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产品检测或质检报告</w:t>
            </w:r>
          </w:p>
        </w:tc>
        <w:tc>
          <w:tcPr>
            <w:tcW w:type="dxa" w:w="2492"/>
          </w:tcPr>
          <w:p>
            <w:pPr>
              <w:pStyle w:val="null3"/>
            </w:pPr>
            <w:r>
              <w:rPr>
                <w:rFonts w:ascii="仿宋_GB2312" w:hAnsi="仿宋_GB2312" w:cs="仿宋_GB2312" w:eastAsia="仿宋_GB2312"/>
              </w:rPr>
              <w:t>讲桌、课桌椅附佐证材料(符合相关检测标准的证明材料)；一项未提供检测/质检报告的扣4分；不提供不计分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①总体实施方案；②计划进度安排；③安装调试；④验收方案； ⑤实施过程中的质量保证。 二、评审要求 方案符合本项目采购需求，能有效保障本项目实施的得10分，每有一个缺项扣2 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 0.5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交货组织安排</w:t>
            </w:r>
          </w:p>
        </w:tc>
        <w:tc>
          <w:tcPr>
            <w:tcW w:type="dxa" w:w="2492"/>
          </w:tcPr>
          <w:p>
            <w:pPr>
              <w:pStyle w:val="null3"/>
            </w:pPr>
            <w:r>
              <w:rPr>
                <w:rFonts w:ascii="仿宋_GB2312" w:hAnsi="仿宋_GB2312" w:cs="仿宋_GB2312" w:eastAsia="仿宋_GB2312"/>
              </w:rPr>
              <w:t>投标人针对本项目有具体的交货组织排，方案应至少包括:①详细的人员，②运输、派送措施，③安全运输措施，包含以上3个方面的得3分，每缺少一项的扣1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 0.2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针对本项目提供项目保障措施，应至少包括①项目管理措施、②质量控制措施、③与采购人的配合措施，包含以上3个方面的得3分，每缺少一项的扣1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 0.2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分，方案应至少包括:①培训内容、②培训计划；包含以上2个方面的得2分，每缺少一项的扣1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 0.2 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方案进行评分，方案应至少包括:①售后服务机构健全，能够提供本地化服务、②具有明确的承诺且符合实际需求，提供详细的售后服务方案及售后服务承诺等。包含以上2个方面的得2分，每缺少一项的扣1分，每有一项存在内容缺陷扣0.2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 0.2 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一、评审内容 ①提供供货能力承诺（明确承诺交付时限）；②提供交付周期承诺（明确承诺按时交付，若因投标人原因延迟的解决办法）； ③提供瑕疵处理承诺（明确货物存在质量问题，承诺在收到反馈后响应时限）； ④提供合同履行承诺（明确承诺严格遵守合同所有条款）。提供一个承诺得2分，不提供不得分。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应急响应时间能完全保障设备故障后的运行，投标人在接到电话1小时内作出响应并可赶至现场解决问题的计4分；2小时内响应的计2分，超过2小时响应的不计分。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供2023年7月1日以来投标人或制造商已完成同类项目业绩。请提供合同复印件（同时提供合同首页、内容页、盖章页复印件并加盖公章），每提供一份业绩计2分，本项最高得10分；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有效投标价格最低的投标报价为评标基准价，其价格分为满分。其他投标人的价格分统一按照下列公式计算：投标报价得分=(评标基准价／投标报价)×50%×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