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版本号：SCZB2026-JT-1708-00220260702001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参加全国全省比赛参赛服采购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SCZB2026-JT-1708-002</w:t>
      </w:r>
      <w:r>
        <w:br/>
      </w:r>
      <w:r>
        <w:br/>
      </w:r>
      <w:r>
        <w:br/>
      </w:r>
    </w:p>
    <w:p>
      <w:pPr>
        <w:pStyle w:val="null3"/>
        <w:jc w:val="center"/>
        <w:outlineLvl w:val="2"/>
      </w:pPr>
      <w:r>
        <w:rPr>
          <w:rFonts w:ascii="仿宋_GB2312" w:hAnsi="仿宋_GB2312" w:cs="仿宋_GB2312" w:eastAsia="仿宋_GB2312"/>
          <w:sz w:val="28"/>
          <w:b/>
        </w:rPr>
        <w:t>西安市射击射箭运动管理中心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西安市射击射箭运动管理中心</w:t>
      </w:r>
      <w:r>
        <w:rPr>
          <w:rFonts w:ascii="仿宋_GB2312" w:hAnsi="仿宋_GB2312" w:cs="仿宋_GB2312" w:eastAsia="仿宋_GB2312"/>
        </w:rPr>
        <w:t>委托，拟对</w:t>
      </w:r>
      <w:r>
        <w:rPr>
          <w:rFonts w:ascii="仿宋_GB2312" w:hAnsi="仿宋_GB2312" w:cs="仿宋_GB2312" w:eastAsia="仿宋_GB2312"/>
        </w:rPr>
        <w:t>参加全国全省比赛参赛服采购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SCZB2026-JT-1708-002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参加全国全省比赛参赛服采购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购置运动员花样滑冰服装、速度滑冰服装（连体）、冬季两项服装（一套：包含上衣+长裤）、冰球（一套：包含上衣+腿罩）、越野滑雪、单板滑雪、高山滑雪、滑雪登山服装（上衣）、射击、射箭、击剑服装、轮滑服装（连体）等，满足项目的需要。</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2、供应商基本资格条件承诺函：提供《西安市政府采购供应商基本资格条件承诺函》</w:t>
      </w:r>
    </w:p>
    <w:p>
      <w:pPr>
        <w:pStyle w:val="null3"/>
      </w:pPr>
      <w:r>
        <w:rPr>
          <w:rFonts w:ascii="仿宋_GB2312" w:hAnsi="仿宋_GB2312" w:cs="仿宋_GB2312" w:eastAsia="仿宋_GB2312"/>
        </w:rPr>
        <w:t>3、信用查询：供应商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西安市射击射箭运动管理中心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陕西省西安市灞桥区欧亚大道辅路与林泓路交叉口东北240米西安市体育训练中心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西安市射击射箭运动管理中心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029-88060669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西安市高新区锦业路1号都市之门C座9楼招标二部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薛珊、年婷婷、张学强、刘艳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代理服务费收费标准：代理服务费参照原国家计委计价格【2002】1980号文和国家发改委发改办价格【2003】857号文的计算方法收取。按上述标准计算的代理服务费低于6000元的，代理服务费按6000元收取。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西安市射击射箭运动管理中心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西安市射击射箭运动管理中心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西安市射击射箭运动管理中心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按照谈判文件、国家相关标准、谈判响应文件及合同约定执行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运动员花样滑冰服装、速度滑冰服装（连体）、冬季两项服装（一套：包含上衣+长裤）、冰球（一套：包含上衣+腿罩）、越野滑雪、单板滑雪、高山滑雪、滑雪登山服装（上衣）、射击、射箭、击剑服装、轮滑服装（连体）等，满足项目的需要。</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326,000.00</w:t>
      </w:r>
    </w:p>
    <w:p>
      <w:pPr>
        <w:pStyle w:val="null3"/>
      </w:pPr>
      <w:r>
        <w:rPr>
          <w:rFonts w:ascii="仿宋_GB2312" w:hAnsi="仿宋_GB2312" w:cs="仿宋_GB2312" w:eastAsia="仿宋_GB2312"/>
        </w:rPr>
        <w:t>采购包最高限价（元）: 326,000.00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参加全国全省比赛参赛服采购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326,000.00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标的名称：参加全国全省比赛参赛服采购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1"/>
              <w:gridCol w:w="337"/>
              <w:gridCol w:w="206"/>
              <w:gridCol w:w="143"/>
              <w:gridCol w:w="1671"/>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名称</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技术参数</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序号</w:t>
                  </w:r>
                  <w:r>
                    <w:rPr>
                      <w:rFonts w:ascii="仿宋_GB2312" w:hAnsi="仿宋_GB2312" w:cs="仿宋_GB2312" w:eastAsia="仿宋_GB2312"/>
                      <w:sz w:val="20"/>
                      <w:b/>
                    </w:rPr>
                    <w:t>1~5项：①</w:t>
                  </w:r>
                  <w:r>
                    <w:rPr>
                      <w:rFonts w:ascii="仿宋_GB2312" w:hAnsi="仿宋_GB2312" w:cs="仿宋_GB2312" w:eastAsia="仿宋_GB2312"/>
                      <w:sz w:val="20"/>
                      <w:b/>
                    </w:rPr>
                    <w:t>花样滑冰</w:t>
                  </w:r>
                  <w:r>
                    <w:rPr>
                      <w:rFonts w:ascii="仿宋_GB2312" w:hAnsi="仿宋_GB2312" w:cs="仿宋_GB2312" w:eastAsia="仿宋_GB2312"/>
                      <w:sz w:val="20"/>
                      <w:b/>
                    </w:rPr>
                    <w:t>服装</w:t>
                  </w:r>
                  <w:r>
                    <w:rPr>
                      <w:rFonts w:ascii="仿宋_GB2312" w:hAnsi="仿宋_GB2312" w:cs="仿宋_GB2312" w:eastAsia="仿宋_GB2312"/>
                      <w:sz w:val="20"/>
                      <w:b/>
                    </w:rPr>
                    <w:t>；</w:t>
                  </w:r>
                  <w:r>
                    <w:rPr>
                      <w:rFonts w:ascii="仿宋_GB2312" w:hAnsi="仿宋_GB2312" w:cs="仿宋_GB2312" w:eastAsia="仿宋_GB2312"/>
                      <w:sz w:val="20"/>
                      <w:b/>
                    </w:rPr>
                    <w:t>②</w:t>
                  </w:r>
                  <w:r>
                    <w:rPr>
                      <w:rFonts w:ascii="仿宋_GB2312" w:hAnsi="仿宋_GB2312" w:cs="仿宋_GB2312" w:eastAsia="仿宋_GB2312"/>
                      <w:sz w:val="20"/>
                      <w:b/>
                    </w:rPr>
                    <w:t>度滑冰服装（连体）</w:t>
                  </w:r>
                  <w:r>
                    <w:rPr>
                      <w:rFonts w:ascii="仿宋_GB2312" w:hAnsi="仿宋_GB2312" w:cs="仿宋_GB2312" w:eastAsia="仿宋_GB2312"/>
                      <w:sz w:val="20"/>
                      <w:b/>
                    </w:rPr>
                    <w:t>；</w:t>
                  </w:r>
                  <w:r>
                    <w:rPr>
                      <w:rFonts w:ascii="仿宋_GB2312" w:hAnsi="仿宋_GB2312" w:cs="仿宋_GB2312" w:eastAsia="仿宋_GB2312"/>
                      <w:sz w:val="20"/>
                      <w:b/>
                    </w:rPr>
                    <w:t>③</w:t>
                  </w:r>
                  <w:r>
                    <w:rPr>
                      <w:rFonts w:ascii="仿宋_GB2312" w:hAnsi="仿宋_GB2312" w:cs="仿宋_GB2312" w:eastAsia="仿宋_GB2312"/>
                      <w:sz w:val="20"/>
                      <w:b/>
                    </w:rPr>
                    <w:t>冬季两项服装（上衣</w:t>
                  </w:r>
                  <w:r>
                    <w:rPr>
                      <w:rFonts w:ascii="仿宋_GB2312" w:hAnsi="仿宋_GB2312" w:cs="仿宋_GB2312" w:eastAsia="仿宋_GB2312"/>
                      <w:sz w:val="20"/>
                      <w:b/>
                    </w:rPr>
                    <w:t>+长裤）</w:t>
                  </w:r>
                  <w:r>
                    <w:rPr>
                      <w:rFonts w:ascii="仿宋_GB2312" w:hAnsi="仿宋_GB2312" w:cs="仿宋_GB2312" w:eastAsia="仿宋_GB2312"/>
                      <w:sz w:val="20"/>
                      <w:b/>
                    </w:rPr>
                    <w:t>；</w:t>
                  </w:r>
                  <w:r>
                    <w:rPr>
                      <w:rFonts w:ascii="仿宋_GB2312" w:hAnsi="仿宋_GB2312" w:cs="仿宋_GB2312" w:eastAsia="仿宋_GB2312"/>
                      <w:sz w:val="20"/>
                      <w:b/>
                    </w:rPr>
                    <w:t>④</w:t>
                  </w:r>
                  <w:r>
                    <w:rPr>
                      <w:rFonts w:ascii="仿宋_GB2312" w:hAnsi="仿宋_GB2312" w:cs="仿宋_GB2312" w:eastAsia="仿宋_GB2312"/>
                      <w:sz w:val="20"/>
                      <w:b/>
                    </w:rPr>
                    <w:t>冰球（上衣</w:t>
                  </w:r>
                  <w:r>
                    <w:rPr>
                      <w:rFonts w:ascii="仿宋_GB2312" w:hAnsi="仿宋_GB2312" w:cs="仿宋_GB2312" w:eastAsia="仿宋_GB2312"/>
                      <w:sz w:val="20"/>
                      <w:b/>
                    </w:rPr>
                    <w:t>+长袜）；⑤越野滑雪、单板滑雪、高山滑雪、滑雪登山服装（上衣）</w:t>
                  </w:r>
                  <w:r>
                    <w:rPr>
                      <w:rFonts w:ascii="仿宋_GB2312" w:hAnsi="仿宋_GB2312" w:cs="仿宋_GB2312" w:eastAsia="仿宋_GB2312"/>
                      <w:sz w:val="20"/>
                      <w:b/>
                    </w:rPr>
                    <w:t>，每件单价最高限价：</w:t>
                  </w:r>
                  <w:r>
                    <w:rPr>
                      <w:rFonts w:ascii="仿宋_GB2312" w:hAnsi="仿宋_GB2312" w:cs="仿宋_GB2312" w:eastAsia="仿宋_GB2312"/>
                      <w:sz w:val="20"/>
                      <w:b/>
                    </w:rPr>
                    <w:t>600元/件，每件不得超过单价最高限价，超过每件限价按无效处理。</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一、冬季项目省级及以上比赛共计</w:t>
                  </w:r>
                  <w:r>
                    <w:rPr>
                      <w:rFonts w:ascii="仿宋_GB2312" w:hAnsi="仿宋_GB2312" w:cs="仿宋_GB2312" w:eastAsia="仿宋_GB2312"/>
                      <w:sz w:val="20"/>
                      <w:b/>
                    </w:rPr>
                    <w:t>152（套），如下所示：</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花样滑冰</w:t>
                  </w:r>
                  <w:r>
                    <w:rPr>
                      <w:rFonts w:ascii="仿宋_GB2312" w:hAnsi="仿宋_GB2312" w:cs="仿宋_GB2312" w:eastAsia="仿宋_GB2312"/>
                      <w:sz w:val="20"/>
                      <w:b/>
                    </w:rPr>
                    <w:t>服装</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29</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件</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面料名称：针织运动服</w:t>
                  </w:r>
                </w:p>
                <w:p>
                  <w:pPr>
                    <w:pStyle w:val="null3"/>
                    <w:jc w:val="both"/>
                  </w:pPr>
                  <w:r>
                    <w:rPr>
                      <w:rFonts w:ascii="仿宋_GB2312" w:hAnsi="仿宋_GB2312" w:cs="仿宋_GB2312" w:eastAsia="仿宋_GB2312"/>
                      <w:sz w:val="20"/>
                    </w:rPr>
                    <w:t>面料成分：</w:t>
                  </w:r>
                  <w:r>
                    <w:rPr>
                      <w:rFonts w:ascii="仿宋_GB2312" w:hAnsi="仿宋_GB2312" w:cs="仿宋_GB2312" w:eastAsia="仿宋_GB2312"/>
                      <w:sz w:val="20"/>
                    </w:rPr>
                    <w:t>76%聚酯纤维24%氨纶</w:t>
                  </w:r>
                </w:p>
                <w:p>
                  <w:pPr>
                    <w:pStyle w:val="null3"/>
                    <w:jc w:val="both"/>
                  </w:pPr>
                  <w:r>
                    <w:rPr>
                      <w:rFonts w:ascii="仿宋_GB2312" w:hAnsi="仿宋_GB2312" w:cs="仿宋_GB2312" w:eastAsia="仿宋_GB2312"/>
                      <w:sz w:val="20"/>
                    </w:rPr>
                    <w:t>颜色：黑色</w:t>
                  </w:r>
                </w:p>
                <w:p>
                  <w:pPr>
                    <w:pStyle w:val="null3"/>
                    <w:jc w:val="both"/>
                  </w:pPr>
                  <w:r>
                    <w:rPr>
                      <w:rFonts w:ascii="仿宋_GB2312" w:hAnsi="仿宋_GB2312" w:cs="仿宋_GB2312" w:eastAsia="仿宋_GB2312"/>
                      <w:sz w:val="20"/>
                    </w:rPr>
                    <w:t>产品描述：采用特殊抗菌加个技术能够有效抑制细菌滋生有助于保持服装持久清新，小立领款四面弹，侧身拉链口袋设计，可放置小物件</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速度滑冰服装（连体）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13</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件</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面料：抓绒，主要成分</w:t>
                  </w:r>
                  <w:r>
                    <w:rPr>
                      <w:rFonts w:ascii="仿宋_GB2312" w:hAnsi="仿宋_GB2312" w:cs="仿宋_GB2312" w:eastAsia="仿宋_GB2312"/>
                      <w:sz w:val="20"/>
                    </w:rPr>
                    <w:t>83%涤纶+17%氨纶（允许允差±5%），该面料具有优异的弹性、透气性和动态保暖能力，通过双面拉毛和磨毛处理使绒毛更紧实</w:t>
                  </w:r>
                </w:p>
                <w:p>
                  <w:pPr>
                    <w:pStyle w:val="null3"/>
                    <w:jc w:val="both"/>
                  </w:pPr>
                  <w:r>
                    <w:rPr>
                      <w:rFonts w:ascii="仿宋_GB2312" w:hAnsi="仿宋_GB2312" w:cs="仿宋_GB2312" w:eastAsia="仿宋_GB2312"/>
                      <w:sz w:val="20"/>
                    </w:rPr>
                    <w:t>版型设计</w:t>
                  </w:r>
                  <w:r>
                    <w:rPr>
                      <w:rFonts w:ascii="仿宋_GB2312" w:hAnsi="仿宋_GB2312" w:cs="仿宋_GB2312" w:eastAsia="仿宋_GB2312"/>
                      <w:sz w:val="20"/>
                    </w:rPr>
                    <w:t>：紧身连体服，遵循人体工学三维扫描定制，接缝转移至身体后侧或非受力区，避免高速滑行产生褶皱阻力 。袖口、裤脚采用弹性束口设计，防止冷风灌入及衣物飘动；帽子与衣身一体化，减少颈部气流分离。</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冬季两项服装（一套：包含上衣</w:t>
                  </w:r>
                  <w:r>
                    <w:rPr>
                      <w:rFonts w:ascii="仿宋_GB2312" w:hAnsi="仿宋_GB2312" w:cs="仿宋_GB2312" w:eastAsia="仿宋_GB2312"/>
                      <w:sz w:val="20"/>
                      <w:b/>
                    </w:rPr>
                    <w:t>+长裤）</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件</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莱卡速干面料，防水拉链，领口透气吸汗材料，袖口收紧防松带，腋下后背透气结构，裤腿收紧防松带，膝盖加厚层，加宽松紧腰带加绑带，红蓝两色，男女分款，尺码</w:t>
                  </w:r>
                  <w:r>
                    <w:rPr>
                      <w:rFonts w:ascii="仿宋_GB2312" w:hAnsi="仿宋_GB2312" w:cs="仿宋_GB2312" w:eastAsia="仿宋_GB2312"/>
                      <w:sz w:val="20"/>
                    </w:rPr>
                    <w:t>XS-XXXL。</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冰球</w:t>
                  </w:r>
                </w:p>
                <w:p>
                  <w:pPr>
                    <w:pStyle w:val="null3"/>
                    <w:jc w:val="center"/>
                  </w:pPr>
                  <w:r>
                    <w:rPr>
                      <w:rFonts w:ascii="仿宋_GB2312" w:hAnsi="仿宋_GB2312" w:cs="仿宋_GB2312" w:eastAsia="仿宋_GB2312"/>
                      <w:sz w:val="20"/>
                      <w:b/>
                    </w:rPr>
                    <w:t>（一套：包含上衣</w:t>
                  </w:r>
                  <w:r>
                    <w:rPr>
                      <w:rFonts w:ascii="仿宋_GB2312" w:hAnsi="仿宋_GB2312" w:cs="仿宋_GB2312" w:eastAsia="仿宋_GB2312"/>
                      <w:sz w:val="20"/>
                      <w:b/>
                    </w:rPr>
                    <w:t>+腿罩）</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52</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件</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材质成分</w:t>
                  </w:r>
                  <w:r>
                    <w:rPr>
                      <w:rFonts w:ascii="仿宋_GB2312" w:hAnsi="仿宋_GB2312" w:cs="仿宋_GB2312" w:eastAsia="仿宋_GB2312"/>
                      <w:sz w:val="20"/>
                    </w:rPr>
                    <w:t>：100%聚酯纤维，需具备吸湿排汗、速干特性 。</w:t>
                  </w:r>
                </w:p>
                <w:p>
                  <w:pPr>
                    <w:pStyle w:val="null3"/>
                    <w:jc w:val="both"/>
                  </w:pPr>
                  <w:r>
                    <w:rPr>
                      <w:rFonts w:ascii="仿宋_GB2312" w:hAnsi="仿宋_GB2312" w:cs="仿宋_GB2312" w:eastAsia="仿宋_GB2312"/>
                      <w:sz w:val="20"/>
                    </w:rPr>
                    <w:t>工艺要求：印花多采用热升华或数码印，色牢度需≥4级，确保不褪色、不开裂；腋下及侧腰常拼接高弹透气网眼布以提升散热。</w:t>
                  </w:r>
                </w:p>
                <w:p>
                  <w:pPr>
                    <w:pStyle w:val="null3"/>
                    <w:jc w:val="both"/>
                  </w:pPr>
                  <w:r>
                    <w:rPr>
                      <w:rFonts w:ascii="仿宋_GB2312" w:hAnsi="仿宋_GB2312" w:cs="仿宋_GB2312" w:eastAsia="仿宋_GB2312"/>
                      <w:sz w:val="20"/>
                    </w:rPr>
                    <w:t>安全标准：需符合运动装备安全规范，水洗不变形、抗起球 。宽松剪裁：专为内穿厚重护具设计，版型宽大，肩部双线加固，袖口罗纹收口以防上滑 。</w:t>
                  </w:r>
                </w:p>
                <w:p>
                  <w:pPr>
                    <w:pStyle w:val="null3"/>
                    <w:jc w:val="both"/>
                  </w:pPr>
                  <w:r>
                    <w:rPr>
                      <w:rFonts w:ascii="仿宋_GB2312" w:hAnsi="仿宋_GB2312" w:cs="仿宋_GB2312" w:eastAsia="仿宋_GB2312"/>
                      <w:sz w:val="20"/>
                    </w:rPr>
                    <w:t>领口加固：领口需包边加固，部分专业款配备高领带或护颈连接位，防止冲撞中脱位 。</w:t>
                  </w:r>
                </w:p>
                <w:p>
                  <w:pPr>
                    <w:pStyle w:val="null3"/>
                    <w:jc w:val="both"/>
                  </w:pPr>
                  <w:r>
                    <w:rPr>
                      <w:rFonts w:ascii="仿宋_GB2312" w:hAnsi="仿宋_GB2312" w:cs="仿宋_GB2312" w:eastAsia="仿宋_GB2312"/>
                      <w:sz w:val="20"/>
                    </w:rPr>
                    <w:t>正面队徽</w:t>
                  </w:r>
                  <w:r>
                    <w:rPr>
                      <w:rFonts w:ascii="仿宋_GB2312" w:hAnsi="仿宋_GB2312" w:cs="仿宋_GB2312" w:eastAsia="仿宋_GB2312"/>
                      <w:sz w:val="20"/>
                    </w:rPr>
                    <w:t>/LOGO清晰可见，符合赛事识别要求 。号码与姓名采用热转印或刺绣，避免使用易脱落的普通胶印 。</w:t>
                  </w:r>
                </w:p>
                <w:p>
                  <w:pPr>
                    <w:pStyle w:val="null3"/>
                    <w:jc w:val="both"/>
                  </w:pPr>
                  <w:r>
                    <w:rPr>
                      <w:rFonts w:ascii="仿宋_GB2312" w:hAnsi="仿宋_GB2312" w:cs="仿宋_GB2312" w:eastAsia="仿宋_GB2312"/>
                      <w:sz w:val="20"/>
                    </w:rPr>
                    <w:t>颜色区分：主场浅色、客场深色，主色覆盖面积需达80%以上，确保两队对比鲜明。</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越野滑雪、单板滑雪、高山滑雪、滑雪登山服装（上衣）</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51</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件</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面料名称：</w:t>
                  </w:r>
                  <w:r>
                    <w:rPr>
                      <w:rFonts w:ascii="仿宋_GB2312" w:hAnsi="仿宋_GB2312" w:cs="仿宋_GB2312" w:eastAsia="仿宋_GB2312"/>
                      <w:sz w:val="20"/>
                    </w:rPr>
                    <w:t>70D/0.1小格子+228T塔斯隆</w:t>
                  </w:r>
                </w:p>
                <w:p>
                  <w:pPr>
                    <w:pStyle w:val="null3"/>
                    <w:jc w:val="both"/>
                  </w:pPr>
                  <w:r>
                    <w:rPr>
                      <w:rFonts w:ascii="仿宋_GB2312" w:hAnsi="仿宋_GB2312" w:cs="仿宋_GB2312" w:eastAsia="仿宋_GB2312"/>
                      <w:sz w:val="20"/>
                    </w:rPr>
                    <w:t>面料成分：面料</w:t>
                  </w:r>
                  <w:r>
                    <w:rPr>
                      <w:rFonts w:ascii="仿宋_GB2312" w:hAnsi="仿宋_GB2312" w:cs="仿宋_GB2312" w:eastAsia="仿宋_GB2312"/>
                      <w:sz w:val="20"/>
                    </w:rPr>
                    <w:t>1：表层：100%锦纶  底层：100%聚酯纤维</w:t>
                  </w:r>
                </w:p>
                <w:p>
                  <w:pPr>
                    <w:pStyle w:val="null3"/>
                    <w:jc w:val="both"/>
                  </w:pPr>
                  <w:r>
                    <w:rPr>
                      <w:rFonts w:ascii="仿宋_GB2312" w:hAnsi="仿宋_GB2312" w:cs="仿宋_GB2312" w:eastAsia="仿宋_GB2312"/>
                      <w:sz w:val="20"/>
                    </w:rPr>
                    <w:t>面料</w:t>
                  </w:r>
                  <w:r>
                    <w:rPr>
                      <w:rFonts w:ascii="仿宋_GB2312" w:hAnsi="仿宋_GB2312" w:cs="仿宋_GB2312" w:eastAsia="仿宋_GB2312"/>
                      <w:sz w:val="20"/>
                    </w:rPr>
                    <w:t>2：表层：100%锦纶  底层：100%聚酯纤维</w:t>
                  </w:r>
                </w:p>
                <w:p>
                  <w:pPr>
                    <w:pStyle w:val="null3"/>
                    <w:jc w:val="both"/>
                  </w:pPr>
                  <w:r>
                    <w:rPr>
                      <w:rFonts w:ascii="仿宋_GB2312" w:hAnsi="仿宋_GB2312" w:cs="仿宋_GB2312" w:eastAsia="仿宋_GB2312"/>
                      <w:sz w:val="20"/>
                    </w:rPr>
                    <w:t>里料</w:t>
                  </w:r>
                  <w:r>
                    <w:rPr>
                      <w:rFonts w:ascii="仿宋_GB2312" w:hAnsi="仿宋_GB2312" w:cs="仿宋_GB2312" w:eastAsia="仿宋_GB2312"/>
                      <w:sz w:val="20"/>
                    </w:rPr>
                    <w:t>1：100%锦纶</w:t>
                  </w:r>
                </w:p>
                <w:p>
                  <w:pPr>
                    <w:pStyle w:val="null3"/>
                    <w:jc w:val="both"/>
                  </w:pPr>
                  <w:r>
                    <w:rPr>
                      <w:rFonts w:ascii="仿宋_GB2312" w:hAnsi="仿宋_GB2312" w:cs="仿宋_GB2312" w:eastAsia="仿宋_GB2312"/>
                      <w:sz w:val="20"/>
                    </w:rPr>
                    <w:t>里料</w:t>
                  </w:r>
                  <w:r>
                    <w:rPr>
                      <w:rFonts w:ascii="仿宋_GB2312" w:hAnsi="仿宋_GB2312" w:cs="仿宋_GB2312" w:eastAsia="仿宋_GB2312"/>
                      <w:sz w:val="20"/>
                    </w:rPr>
                    <w:t>2：88%锦纶12%氨纶</w:t>
                  </w:r>
                  <w:r>
                    <w:rPr>
                      <w:rFonts w:ascii="仿宋_GB2312" w:hAnsi="仿宋_GB2312" w:cs="仿宋_GB2312" w:eastAsia="仿宋_GB2312"/>
                      <w:sz w:val="20"/>
                    </w:rPr>
                    <w:t>（允许允差</w:t>
                  </w:r>
                  <w:r>
                    <w:rPr>
                      <w:rFonts w:ascii="仿宋_GB2312" w:hAnsi="仿宋_GB2312" w:cs="仿宋_GB2312" w:eastAsia="仿宋_GB2312"/>
                      <w:sz w:val="20"/>
                    </w:rPr>
                    <w:t>±5%）</w:t>
                  </w:r>
                </w:p>
                <w:p>
                  <w:pPr>
                    <w:pStyle w:val="null3"/>
                    <w:jc w:val="both"/>
                  </w:pPr>
                  <w:r>
                    <w:rPr>
                      <w:rFonts w:ascii="仿宋_GB2312" w:hAnsi="仿宋_GB2312" w:cs="仿宋_GB2312" w:eastAsia="仿宋_GB2312"/>
                      <w:sz w:val="20"/>
                    </w:rPr>
                    <w:t>填充物：</w:t>
                  </w:r>
                  <w:r>
                    <w:rPr>
                      <w:rFonts w:ascii="仿宋_GB2312" w:hAnsi="仿宋_GB2312" w:cs="仿宋_GB2312" w:eastAsia="仿宋_GB2312"/>
                      <w:sz w:val="20"/>
                    </w:rPr>
                    <w:t>100%聚酯纤维</w:t>
                  </w:r>
                </w:p>
                <w:p>
                  <w:pPr>
                    <w:pStyle w:val="null3"/>
                    <w:jc w:val="both"/>
                  </w:pPr>
                  <w:r>
                    <w:rPr>
                      <w:rFonts w:ascii="仿宋_GB2312" w:hAnsi="仿宋_GB2312" w:cs="仿宋_GB2312" w:eastAsia="仿宋_GB2312"/>
                      <w:sz w:val="20"/>
                    </w:rPr>
                    <w:t>颜色要求：黑色</w:t>
                  </w:r>
                  <w:r>
                    <w:rPr>
                      <w:rFonts w:ascii="仿宋_GB2312" w:hAnsi="仿宋_GB2312" w:cs="仿宋_GB2312" w:eastAsia="仿宋_GB2312"/>
                      <w:sz w:val="20"/>
                    </w:rPr>
                    <w:t>/姜黄;尺码要求：XS-XL。</w:t>
                  </w:r>
                </w:p>
                <w:p>
                  <w:pPr>
                    <w:pStyle w:val="null3"/>
                    <w:jc w:val="both"/>
                  </w:pPr>
                  <w:r>
                    <w:rPr>
                      <w:rFonts w:ascii="仿宋_GB2312" w:hAnsi="仿宋_GB2312" w:cs="仿宋_GB2312" w:eastAsia="仿宋_GB2312"/>
                      <w:sz w:val="20"/>
                    </w:rPr>
                    <w:t>产品要求：防水透湿面料，带</w:t>
                  </w:r>
                  <w:r>
                    <w:rPr>
                      <w:rFonts w:ascii="仿宋_GB2312" w:hAnsi="仿宋_GB2312" w:cs="仿宋_GB2312" w:eastAsia="仿宋_GB2312"/>
                      <w:sz w:val="20"/>
                    </w:rPr>
                    <w:t>RECCO救援系统，有NIFCO帽调节绳制，可调节帽围的加棉滑雪服。整衣W&amp;T拉链，防水防风；腰部防雪裙，有效阻雪；腋下透气设计，拉链可调节透气面积。弹力防雪袖，可有效阻雪；小臂雪卡袋，方便快捷。</w:t>
                  </w:r>
                </w:p>
                <w:p>
                  <w:pPr>
                    <w:pStyle w:val="null3"/>
                    <w:jc w:val="both"/>
                  </w:pPr>
                  <w:r>
                    <w:rPr>
                      <w:rFonts w:ascii="仿宋_GB2312" w:hAnsi="仿宋_GB2312" w:cs="仿宋_GB2312" w:eastAsia="仿宋_GB2312"/>
                      <w:sz w:val="20"/>
                    </w:rPr>
                    <w:t>水洗尺寸变化率</w:t>
                  </w:r>
                  <w:r>
                    <w:rPr>
                      <w:rFonts w:ascii="仿宋_GB2312" w:hAnsi="仿宋_GB2312" w:cs="仿宋_GB2312" w:eastAsia="仿宋_GB2312"/>
                      <w:sz w:val="20"/>
                    </w:rPr>
                    <w:t>(%)：胸围/腰围≥-2.0  衣长/裤长≥-2.5</w:t>
                  </w:r>
                </w:p>
                <w:p>
                  <w:pPr>
                    <w:pStyle w:val="null3"/>
                    <w:jc w:val="both"/>
                  </w:pPr>
                  <w:r>
                    <w:rPr>
                      <w:rFonts w:ascii="仿宋_GB2312" w:hAnsi="仿宋_GB2312" w:cs="仿宋_GB2312" w:eastAsia="仿宋_GB2312"/>
                      <w:sz w:val="20"/>
                    </w:rPr>
                    <w:t>水洗后外观：整体无明显变色；面料无破损；缝线无脱开；印</w:t>
                  </w:r>
                  <w:r>
                    <w:rPr>
                      <w:rFonts w:ascii="仿宋_GB2312" w:hAnsi="仿宋_GB2312" w:cs="仿宋_GB2312" w:eastAsia="仿宋_GB2312"/>
                      <w:sz w:val="20"/>
                    </w:rPr>
                    <w:t>(烫)花部位不允许开裂、 起泡、起皮及脱落；绣花 0.0，水洗后样品无异常变化，不允许部位严重起皱、变形；附件不允许破损、脱落及锈蚀；不允许严重影响外观。</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序号</w:t>
                  </w:r>
                  <w:r>
                    <w:rPr>
                      <w:rFonts w:ascii="仿宋_GB2312" w:hAnsi="仿宋_GB2312" w:cs="仿宋_GB2312" w:eastAsia="仿宋_GB2312"/>
                      <w:sz w:val="20"/>
                      <w:b/>
                    </w:rPr>
                    <w:t>1~2项：①</w:t>
                  </w:r>
                  <w:r>
                    <w:rPr>
                      <w:rFonts w:ascii="仿宋_GB2312" w:hAnsi="仿宋_GB2312" w:cs="仿宋_GB2312" w:eastAsia="仿宋_GB2312"/>
                      <w:sz w:val="20"/>
                      <w:b/>
                    </w:rPr>
                    <w:t>射击、射箭、击剑服装（</w:t>
                  </w:r>
                  <w:r>
                    <w:rPr>
                      <w:rFonts w:ascii="仿宋_GB2312" w:hAnsi="仿宋_GB2312" w:cs="仿宋_GB2312" w:eastAsia="仿宋_GB2312"/>
                      <w:sz w:val="20"/>
                      <w:b/>
                    </w:rPr>
                    <w:t>POLO衫、运动长裤、运动风衣为1件）</w:t>
                  </w:r>
                  <w:r>
                    <w:rPr>
                      <w:rFonts w:ascii="仿宋_GB2312" w:hAnsi="仿宋_GB2312" w:cs="仿宋_GB2312" w:eastAsia="仿宋_GB2312"/>
                      <w:sz w:val="20"/>
                      <w:b/>
                    </w:rPr>
                    <w:t>；</w:t>
                  </w:r>
                  <w:r>
                    <w:rPr>
                      <w:rFonts w:ascii="仿宋_GB2312" w:hAnsi="仿宋_GB2312" w:cs="仿宋_GB2312" w:eastAsia="仿宋_GB2312"/>
                      <w:sz w:val="20"/>
                      <w:b/>
                    </w:rPr>
                    <w:t>②</w:t>
                  </w:r>
                  <w:r>
                    <w:rPr>
                      <w:rFonts w:ascii="仿宋_GB2312" w:hAnsi="仿宋_GB2312" w:cs="仿宋_GB2312" w:eastAsia="仿宋_GB2312"/>
                      <w:sz w:val="20"/>
                      <w:b/>
                    </w:rPr>
                    <w:t>轮滑服装（连体）</w:t>
                  </w:r>
                  <w:r>
                    <w:rPr>
                      <w:rFonts w:ascii="仿宋_GB2312" w:hAnsi="仿宋_GB2312" w:cs="仿宋_GB2312" w:eastAsia="仿宋_GB2312"/>
                      <w:sz w:val="20"/>
                      <w:b/>
                    </w:rPr>
                    <w:t>，每件单价最高限价：</w:t>
                  </w:r>
                  <w:r>
                    <w:rPr>
                      <w:rFonts w:ascii="仿宋_GB2312" w:hAnsi="仿宋_GB2312" w:cs="仿宋_GB2312" w:eastAsia="仿宋_GB2312"/>
                      <w:sz w:val="20"/>
                      <w:b/>
                    </w:rPr>
                    <w:t>600元/件，每件不得超过单价最高限价，超过每件限价按无效处理。</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二、夏季项目省级及以上比赛</w:t>
                  </w:r>
                  <w:r>
                    <w:rPr>
                      <w:rFonts w:ascii="仿宋_GB2312" w:hAnsi="仿宋_GB2312" w:cs="仿宋_GB2312" w:eastAsia="仿宋_GB2312"/>
                      <w:sz w:val="20"/>
                      <w:b/>
                    </w:rPr>
                    <w:t xml:space="preserve">  </w:t>
                  </w:r>
                  <w:r>
                    <w:rPr>
                      <w:rFonts w:ascii="仿宋_GB2312" w:hAnsi="仿宋_GB2312" w:cs="仿宋_GB2312" w:eastAsia="仿宋_GB2312"/>
                      <w:sz w:val="20"/>
                      <w:b/>
                    </w:rPr>
                    <w:t>391（套），如下所示：</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射击、射箭、击剑服装</w:t>
                  </w:r>
                </w:p>
                <w:p>
                  <w:pPr>
                    <w:pStyle w:val="null3"/>
                    <w:jc w:val="center"/>
                  </w:pPr>
                  <w:r>
                    <w:rPr>
                      <w:rFonts w:ascii="仿宋_GB2312" w:hAnsi="仿宋_GB2312" w:cs="仿宋_GB2312" w:eastAsia="仿宋_GB2312"/>
                      <w:sz w:val="20"/>
                      <w:b/>
                    </w:rPr>
                    <w:t>核心产品</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351</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件</w:t>
                  </w:r>
                </w:p>
              </w:tc>
              <w:tc>
                <w:tcPr>
                  <w:tcW w:type="dxa" w:w="1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1）POLO衫</w:t>
                  </w:r>
                </w:p>
                <w:p>
                  <w:pPr>
                    <w:pStyle w:val="null3"/>
                    <w:jc w:val="both"/>
                  </w:pPr>
                  <w:r>
                    <w:rPr>
                      <w:rFonts w:ascii="仿宋_GB2312" w:hAnsi="仿宋_GB2312" w:cs="仿宋_GB2312" w:eastAsia="仿宋_GB2312"/>
                      <w:sz w:val="20"/>
                    </w:rPr>
                    <w:t>面料名称：</w:t>
                  </w:r>
                  <w:r>
                    <w:rPr>
                      <w:rFonts w:ascii="仿宋_GB2312" w:hAnsi="仿宋_GB2312" w:cs="仿宋_GB2312" w:eastAsia="仿宋_GB2312"/>
                      <w:sz w:val="20"/>
                    </w:rPr>
                    <w:t>85％锦纶 15％氨纶</w:t>
                  </w:r>
                  <w:r>
                    <w:rPr>
                      <w:rFonts w:ascii="仿宋_GB2312" w:hAnsi="仿宋_GB2312" w:cs="仿宋_GB2312" w:eastAsia="仿宋_GB2312"/>
                      <w:sz w:val="20"/>
                    </w:rPr>
                    <w:t>（允许允差</w:t>
                  </w:r>
                  <w:r>
                    <w:rPr>
                      <w:rFonts w:ascii="仿宋_GB2312" w:hAnsi="仿宋_GB2312" w:cs="仿宋_GB2312" w:eastAsia="仿宋_GB2312"/>
                      <w:sz w:val="20"/>
                    </w:rPr>
                    <w:t>±5%）</w:t>
                  </w:r>
                  <w:r>
                    <w:br/>
                  </w:r>
                  <w:r>
                    <w:rPr>
                      <w:rFonts w:ascii="仿宋_GB2312" w:hAnsi="仿宋_GB2312" w:cs="仿宋_GB2312" w:eastAsia="仿宋_GB2312"/>
                      <w:sz w:val="20"/>
                    </w:rPr>
                    <w:t>尺码范围：</w:t>
                  </w:r>
                  <w:r>
                    <w:rPr>
                      <w:rFonts w:ascii="仿宋_GB2312" w:hAnsi="仿宋_GB2312" w:cs="仿宋_GB2312" w:eastAsia="仿宋_GB2312"/>
                      <w:sz w:val="20"/>
                    </w:rPr>
                    <w:t>S-5XL</w:t>
                  </w:r>
                </w:p>
                <w:p>
                  <w:pPr>
                    <w:pStyle w:val="null3"/>
                    <w:jc w:val="both"/>
                  </w:pPr>
                  <w:r>
                    <w:rPr>
                      <w:rFonts w:ascii="仿宋_GB2312" w:hAnsi="仿宋_GB2312" w:cs="仿宋_GB2312" w:eastAsia="仿宋_GB2312"/>
                      <w:sz w:val="20"/>
                    </w:rPr>
                    <w:t>颜色要求：天蓝</w:t>
                  </w:r>
                </w:p>
                <w:p>
                  <w:pPr>
                    <w:pStyle w:val="null3"/>
                    <w:jc w:val="both"/>
                  </w:pPr>
                  <w:r>
                    <w:rPr>
                      <w:rFonts w:ascii="仿宋_GB2312" w:hAnsi="仿宋_GB2312" w:cs="仿宋_GB2312" w:eastAsia="仿宋_GB2312"/>
                      <w:sz w:val="20"/>
                    </w:rPr>
                    <w:t>产品描述：磅凉感</w:t>
                  </w:r>
                  <w:r>
                    <w:rPr>
                      <w:rFonts w:ascii="仿宋_GB2312" w:hAnsi="仿宋_GB2312" w:cs="仿宋_GB2312" w:eastAsia="仿宋_GB2312"/>
                      <w:sz w:val="20"/>
                    </w:rPr>
                    <w:t>Polo衫透气抗皱通勤百搭上衣，告别T恤的随意、衬衫的拘谨，这件经典Polo衫承包你全场景穿搭。甄选高支精梳面料，细密珠地网眼结构，加速空气流通，夏日久穿不闷汗、不粘身。挺括定型翻领，多次水洗不易软塌变形，门襟简约纽扣设计，胸口精致小标点缀，低调不浮夸:。微宽松立体剪裁，不紧绷、不臃肿，修饰</w:t>
                  </w:r>
                </w:p>
                <w:p>
                  <w:pPr>
                    <w:pStyle w:val="null3"/>
                    <w:jc w:val="both"/>
                  </w:pPr>
                  <w:r>
                    <w:rPr>
                      <w:rFonts w:ascii="仿宋_GB2312" w:hAnsi="仿宋_GB2312" w:cs="仿宋_GB2312" w:eastAsia="仿宋_GB2312"/>
                      <w:sz w:val="20"/>
                    </w:rPr>
                    <w:t>身形，兼顾舒适与体面。日常通勤、商务会面、周末出游、轻户外都能轻松驾驭，多色基础色系可选，经过预缩、抗起球工艺处理，机洗不易掉色、变形、起球，耐穿耐看，打造长久穿搭质感。</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2）运动长裤</w:t>
                  </w:r>
                </w:p>
                <w:p>
                  <w:pPr>
                    <w:pStyle w:val="null3"/>
                    <w:jc w:val="both"/>
                  </w:pPr>
                  <w:r>
                    <w:rPr>
                      <w:rFonts w:ascii="仿宋_GB2312" w:hAnsi="仿宋_GB2312" w:cs="仿宋_GB2312" w:eastAsia="仿宋_GB2312"/>
                      <w:sz w:val="20"/>
                    </w:rPr>
                    <w:t>面料配比：</w:t>
                  </w:r>
                  <w:r>
                    <w:rPr>
                      <w:rFonts w:ascii="仿宋_GB2312" w:hAnsi="仿宋_GB2312" w:cs="仿宋_GB2312" w:eastAsia="仿宋_GB2312"/>
                      <w:sz w:val="20"/>
                    </w:rPr>
                    <w:t>82%锦纶 + 18%氨纶</w:t>
                  </w:r>
                  <w:r>
                    <w:rPr>
                      <w:rFonts w:ascii="仿宋_GB2312" w:hAnsi="仿宋_GB2312" w:cs="仿宋_GB2312" w:eastAsia="仿宋_GB2312"/>
                      <w:sz w:val="20"/>
                    </w:rPr>
                    <w:t>（允许允差</w:t>
                  </w:r>
                  <w:r>
                    <w:rPr>
                      <w:rFonts w:ascii="仿宋_GB2312" w:hAnsi="仿宋_GB2312" w:cs="仿宋_GB2312" w:eastAsia="仿宋_GB2312"/>
                      <w:sz w:val="20"/>
                    </w:rPr>
                    <w:t>±5%）</w:t>
                  </w:r>
                </w:p>
                <w:p>
                  <w:pPr>
                    <w:pStyle w:val="null3"/>
                    <w:jc w:val="both"/>
                  </w:pPr>
                  <w:r>
                    <w:rPr>
                      <w:rFonts w:ascii="仿宋_GB2312" w:hAnsi="仿宋_GB2312" w:cs="仿宋_GB2312" w:eastAsia="仿宋_GB2312"/>
                      <w:sz w:val="20"/>
                    </w:rPr>
                    <w:t>尺码区间：</w:t>
                  </w:r>
                  <w:r>
                    <w:rPr>
                      <w:rFonts w:ascii="仿宋_GB2312" w:hAnsi="仿宋_GB2312" w:cs="仿宋_GB2312" w:eastAsia="仿宋_GB2312"/>
                      <w:sz w:val="20"/>
                    </w:rPr>
                    <w:t>M-5XL，覆盖多身形，适配团队统一采购</w:t>
                  </w:r>
                </w:p>
                <w:p>
                  <w:pPr>
                    <w:pStyle w:val="null3"/>
                    <w:jc w:val="both"/>
                  </w:pPr>
                  <w:r>
                    <w:rPr>
                      <w:rFonts w:ascii="仿宋_GB2312" w:hAnsi="仿宋_GB2312" w:cs="仿宋_GB2312" w:eastAsia="仿宋_GB2312"/>
                      <w:sz w:val="20"/>
                    </w:rPr>
                    <w:t>标准配色：基础黑，裤侧简约红色国旗小标，风格庄重百搭</w:t>
                  </w:r>
                </w:p>
                <w:p>
                  <w:pPr>
                    <w:pStyle w:val="null3"/>
                    <w:jc w:val="both"/>
                  </w:pPr>
                  <w:r>
                    <w:rPr>
                      <w:rFonts w:ascii="仿宋_GB2312" w:hAnsi="仿宋_GB2312" w:cs="仿宋_GB2312" w:eastAsia="仿宋_GB2312"/>
                      <w:sz w:val="20"/>
                    </w:rPr>
                    <w:t>产品描述：</w:t>
                  </w:r>
                  <w:r>
                    <w:rPr>
                      <w:rFonts w:ascii="仿宋_GB2312" w:hAnsi="仿宋_GB2312" w:cs="仿宋_GB2312" w:eastAsia="仿宋_GB2312"/>
                      <w:sz w:val="20"/>
                    </w:rPr>
                    <w:t>1. 高弹速干混纺面料。高占比锦纶打造致密透气表层，快速疏导运动产生的汗液，不闷湿、不粘腿；18%氨纶加持四面弹力，跑跳、深蹲无束缚，运动零卡顿。2. 轻薄垂顺，自带凉感。面料轻薄无厚重感，夏季穿着不闷燥热，垂坠挺括不易起皱，久坐办公也不会堆积难看褶皱。3. 抗撕裂耐穿易打理。锦纶纤维耐磨抗勾丝，日常户外、外勤久穿不易破损；可机洗，不易掉色、变形，收纳折叠无压痕。4. 哑光亲肤不闷肤。表面哑光柔和，贴肤不扎肉，无闷热不透气的塑料感，四季均可穿搭。</w:t>
                  </w:r>
                </w:p>
                <w:p>
                  <w:pPr>
                    <w:pStyle w:val="null3"/>
                    <w:jc w:val="both"/>
                  </w:pPr>
                  <w:r>
                    <w:rPr>
                      <w:rFonts w:ascii="仿宋_GB2312" w:hAnsi="仿宋_GB2312" w:cs="仿宋_GB2312" w:eastAsia="仿宋_GB2312"/>
                      <w:sz w:val="20"/>
                    </w:rPr>
                    <w:t>版型与细节设计：</w:t>
                  </w:r>
                  <w:r>
                    <w:rPr>
                      <w:rFonts w:ascii="仿宋_GB2312" w:hAnsi="仿宋_GB2312" w:cs="仿宋_GB2312" w:eastAsia="仿宋_GB2312"/>
                      <w:sz w:val="20"/>
                    </w:rPr>
                    <w:t>1. 松紧抽绳腰头。内置可调节抽绳，适配不同腰围，无需皮带，穿脱便捷，运动过程中不会滑落勒腰。2. 修身直筒裤型。微收小脚剪裁，不紧绷、不臃肿，修饰腿型，男女上身利落显精神，兼顾运动舒适与日常穿搭美观度。3. 侧缝拉链口袋。侧边配备拉链储物袋，跑步、外勤</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3）运动风衣</w:t>
                  </w:r>
                </w:p>
                <w:p>
                  <w:pPr>
                    <w:pStyle w:val="null3"/>
                    <w:jc w:val="both"/>
                  </w:pPr>
                  <w:r>
                    <w:rPr>
                      <w:rFonts w:ascii="仿宋_GB2312" w:hAnsi="仿宋_GB2312" w:cs="仿宋_GB2312" w:eastAsia="仿宋_GB2312"/>
                      <w:sz w:val="20"/>
                    </w:rPr>
                    <w:t>面料名称：</w:t>
                  </w:r>
                  <w:r>
                    <w:rPr>
                      <w:rFonts w:ascii="仿宋_GB2312" w:hAnsi="仿宋_GB2312" w:cs="仿宋_GB2312" w:eastAsia="仿宋_GB2312"/>
                      <w:sz w:val="20"/>
                    </w:rPr>
                    <w:t>86.5％锦纶 13.5％氨纶</w:t>
                  </w:r>
                  <w:r>
                    <w:rPr>
                      <w:rFonts w:ascii="仿宋_GB2312" w:hAnsi="仿宋_GB2312" w:cs="仿宋_GB2312" w:eastAsia="仿宋_GB2312"/>
                      <w:sz w:val="20"/>
                    </w:rPr>
                    <w:t>（允许允差</w:t>
                  </w:r>
                  <w:r>
                    <w:rPr>
                      <w:rFonts w:ascii="仿宋_GB2312" w:hAnsi="仿宋_GB2312" w:cs="仿宋_GB2312" w:eastAsia="仿宋_GB2312"/>
                      <w:sz w:val="20"/>
                    </w:rPr>
                    <w:t>±5%）</w:t>
                  </w:r>
                  <w:r>
                    <w:br/>
                  </w:r>
                  <w:r>
                    <w:rPr>
                      <w:rFonts w:ascii="仿宋_GB2312" w:hAnsi="仿宋_GB2312" w:cs="仿宋_GB2312" w:eastAsia="仿宋_GB2312"/>
                      <w:sz w:val="20"/>
                    </w:rPr>
                    <w:t>尺码范围：</w:t>
                  </w:r>
                  <w:r>
                    <w:rPr>
                      <w:rFonts w:ascii="仿宋_GB2312" w:hAnsi="仿宋_GB2312" w:cs="仿宋_GB2312" w:eastAsia="仿宋_GB2312"/>
                      <w:sz w:val="20"/>
                    </w:rPr>
                    <w:t>XS-5XL</w:t>
                  </w:r>
                </w:p>
                <w:p>
                  <w:pPr>
                    <w:pStyle w:val="null3"/>
                    <w:jc w:val="both"/>
                  </w:pPr>
                  <w:r>
                    <w:rPr>
                      <w:rFonts w:ascii="仿宋_GB2312" w:hAnsi="仿宋_GB2312" w:cs="仿宋_GB2312" w:eastAsia="仿宋_GB2312"/>
                      <w:sz w:val="20"/>
                    </w:rPr>
                    <w:t>颜色要求：深蓝</w:t>
                  </w:r>
                </w:p>
                <w:p>
                  <w:pPr>
                    <w:pStyle w:val="null3"/>
                    <w:jc w:val="both"/>
                  </w:pPr>
                  <w:r>
                    <w:rPr>
                      <w:rFonts w:ascii="仿宋_GB2312" w:hAnsi="仿宋_GB2312" w:cs="仿宋_GB2312" w:eastAsia="仿宋_GB2312"/>
                      <w:sz w:val="20"/>
                    </w:rPr>
                    <w:t>产品描述：高弹锦纶氨纶面料，物理阻隔紫外线，轻薄透气不闷汗；全尺码</w:t>
                  </w:r>
                  <w:r>
                    <w:rPr>
                      <w:rFonts w:ascii="仿宋_GB2312" w:hAnsi="仿宋_GB2312" w:cs="仿宋_GB2312" w:eastAsia="仿宋_GB2312"/>
                      <w:sz w:val="20"/>
                    </w:rPr>
                    <w:t>XS-5XL覆盖男女身形，深蓝、水灰双色可选，左胸国旗标识庄重简约，连帽全方面防晒，弹力袖口防风防晒，户外出行、企业团建、日常通勤一件多用，抗皱易收纳。</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w:t>
                  </w:r>
                </w:p>
              </w:tc>
              <w:tc>
                <w:tcPr>
                  <w:tcW w:type="dxa" w:w="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轮滑服装（连体）</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40</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件</w:t>
                  </w:r>
                </w:p>
              </w:tc>
              <w:tc>
                <w:tcPr>
                  <w:tcW w:type="dxa" w:w="16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面料：高弹力莱卡</w:t>
                  </w:r>
                </w:p>
                <w:p>
                  <w:pPr>
                    <w:pStyle w:val="null3"/>
                    <w:jc w:val="both"/>
                  </w:pPr>
                  <w:r>
                    <w:rPr>
                      <w:rFonts w:ascii="仿宋_GB2312" w:hAnsi="仿宋_GB2312" w:cs="仿宋_GB2312" w:eastAsia="仿宋_GB2312"/>
                      <w:sz w:val="20"/>
                    </w:rPr>
                    <w:t>主要成分：</w:t>
                  </w:r>
                  <w:r>
                    <w:rPr>
                      <w:rFonts w:ascii="仿宋_GB2312" w:hAnsi="仿宋_GB2312" w:cs="仿宋_GB2312" w:eastAsia="仿宋_GB2312"/>
                      <w:sz w:val="20"/>
                    </w:rPr>
                    <w:t>85%涤纶+15%氨纶</w:t>
                  </w:r>
                  <w:r>
                    <w:rPr>
                      <w:rFonts w:ascii="仿宋_GB2312" w:hAnsi="仿宋_GB2312" w:cs="仿宋_GB2312" w:eastAsia="仿宋_GB2312"/>
                      <w:sz w:val="20"/>
                    </w:rPr>
                    <w:t>（允许允差</w:t>
                  </w:r>
                  <w:r>
                    <w:rPr>
                      <w:rFonts w:ascii="仿宋_GB2312" w:hAnsi="仿宋_GB2312" w:cs="仿宋_GB2312" w:eastAsia="仿宋_GB2312"/>
                      <w:sz w:val="20"/>
                    </w:rPr>
                    <w:t>±5%）</w:t>
                  </w:r>
                </w:p>
                <w:p>
                  <w:pPr>
                    <w:pStyle w:val="null3"/>
                    <w:jc w:val="both"/>
                  </w:pPr>
                  <w:r>
                    <w:rPr>
                      <w:rFonts w:ascii="仿宋_GB2312" w:hAnsi="仿宋_GB2312" w:cs="仿宋_GB2312" w:eastAsia="仿宋_GB2312"/>
                      <w:sz w:val="20"/>
                    </w:rPr>
                    <w:t>该面料高弹性、回复性好、舒适贴身，同时腋下增加了透气的排汗网孔面料。</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质量标准：</w:t>
                  </w:r>
                </w:p>
                <w:p>
                  <w:pPr>
                    <w:pStyle w:val="null3"/>
                    <w:numPr>
                      <w:ilvl w:val="0"/>
                      <w:numId w:val="1"/>
                    </w:numPr>
                    <w:jc w:val="left"/>
                  </w:pPr>
                  <w:r>
                    <w:rPr>
                      <w:rFonts w:ascii="仿宋_GB2312" w:hAnsi="仿宋_GB2312" w:cs="仿宋_GB2312" w:eastAsia="仿宋_GB2312"/>
                      <w:sz w:val="20"/>
                    </w:rPr>
                    <w:t>所有货物、服务符合国家、省、市（行业）强制性标准及采购人要求的合格标准；</w:t>
                  </w:r>
                </w:p>
                <w:p>
                  <w:pPr>
                    <w:pStyle w:val="null3"/>
                    <w:numPr>
                      <w:ilvl w:val="0"/>
                      <w:numId w:val="1"/>
                    </w:numPr>
                    <w:jc w:val="left"/>
                  </w:pPr>
                  <w:r>
                    <w:rPr>
                      <w:rFonts w:ascii="仿宋_GB2312" w:hAnsi="仿宋_GB2312" w:cs="仿宋_GB2312" w:eastAsia="仿宋_GB2312"/>
                      <w:sz w:val="20"/>
                    </w:rPr>
                    <w:t>货物制造商、经销代理商应严格遵守《中华人民共和国产品质量法》，确保提供的产品符合质量标准，达到合格产品的要求。可能危及人体健康和人身、财产安全的工业产品，必须符合保障人体健康和人身、财产安全的国家标准、行业标准；未制定国家标准、行业标准的，必须符合保障人体健康和人身、财产安全的要求。</w:t>
                  </w:r>
                </w:p>
                <w:p>
                  <w:pPr>
                    <w:pStyle w:val="null3"/>
                    <w:numPr>
                      <w:ilvl w:val="0"/>
                      <w:numId w:val="1"/>
                    </w:numPr>
                    <w:jc w:val="left"/>
                  </w:pPr>
                  <w:r>
                    <w:rPr>
                      <w:rFonts w:ascii="仿宋_GB2312" w:hAnsi="仿宋_GB2312" w:cs="仿宋_GB2312" w:eastAsia="仿宋_GB2312"/>
                      <w:sz w:val="20"/>
                    </w:rPr>
                    <w:t>货物、服务执行的标准、规范：必须执行国家、行业强制性标准；没有国家、行业强制性标准的按</w:t>
                  </w:r>
                  <w:r>
                    <w:rPr>
                      <w:rFonts w:ascii="仿宋_GB2312" w:hAnsi="仿宋_GB2312" w:cs="仿宋_GB2312" w:eastAsia="仿宋_GB2312"/>
                      <w:sz w:val="20"/>
                    </w:rPr>
                    <w:t>①国家标准、规范</w:t>
                  </w:r>
                  <w:r>
                    <w:rPr>
                      <w:rFonts w:ascii="仿宋_GB2312" w:hAnsi="仿宋_GB2312" w:cs="仿宋_GB2312" w:eastAsia="仿宋_GB2312"/>
                      <w:sz w:val="20"/>
                    </w:rPr>
                    <w:t>；</w:t>
                  </w:r>
                  <w:r>
                    <w:rPr>
                      <w:rFonts w:ascii="仿宋_GB2312" w:hAnsi="仿宋_GB2312" w:cs="仿宋_GB2312" w:eastAsia="仿宋_GB2312"/>
                      <w:sz w:val="20"/>
                    </w:rPr>
                    <w:t>②行业标准、规范</w:t>
                  </w:r>
                  <w:r>
                    <w:rPr>
                      <w:rFonts w:ascii="仿宋_GB2312" w:hAnsi="仿宋_GB2312" w:cs="仿宋_GB2312" w:eastAsia="仿宋_GB2312"/>
                      <w:sz w:val="20"/>
                    </w:rPr>
                    <w:t>；</w:t>
                  </w:r>
                  <w:r>
                    <w:rPr>
                      <w:rFonts w:ascii="仿宋_GB2312" w:hAnsi="仿宋_GB2312" w:cs="仿宋_GB2312" w:eastAsia="仿宋_GB2312"/>
                      <w:sz w:val="20"/>
                    </w:rPr>
                    <w:t>③地方标准、规范</w:t>
                  </w:r>
                  <w:r>
                    <w:rPr>
                      <w:rFonts w:ascii="仿宋_GB2312" w:hAnsi="仿宋_GB2312" w:cs="仿宋_GB2312" w:eastAsia="仿宋_GB2312"/>
                      <w:sz w:val="20"/>
                    </w:rPr>
                    <w:t>；</w:t>
                  </w:r>
                  <w:r>
                    <w:rPr>
                      <w:rFonts w:ascii="仿宋_GB2312" w:hAnsi="仿宋_GB2312" w:cs="仿宋_GB2312" w:eastAsia="仿宋_GB2312"/>
                      <w:sz w:val="20"/>
                    </w:rPr>
                    <w:t>④团体标准、规范</w:t>
                  </w:r>
                  <w:r>
                    <w:rPr>
                      <w:rFonts w:ascii="仿宋_GB2312" w:hAnsi="仿宋_GB2312" w:cs="仿宋_GB2312" w:eastAsia="仿宋_GB2312"/>
                      <w:sz w:val="20"/>
                    </w:rPr>
                    <w:t>；</w:t>
                  </w:r>
                  <w:r>
                    <w:rPr>
                      <w:rFonts w:ascii="仿宋_GB2312" w:hAnsi="仿宋_GB2312" w:cs="仿宋_GB2312" w:eastAsia="仿宋_GB2312"/>
                      <w:sz w:val="20"/>
                    </w:rPr>
                    <w:t>⑤企业标准、规范类推顺序执行；凡涉及的相关规范，国家有最新标准的以最新标准为准，所有标准哪个标准高执行哪个标准。</w:t>
                  </w:r>
                </w:p>
                <w:p>
                  <w:pPr>
                    <w:pStyle w:val="null3"/>
                    <w:numPr>
                      <w:ilvl w:val="0"/>
                      <w:numId w:val="1"/>
                    </w:numPr>
                    <w:jc w:val="left"/>
                  </w:pPr>
                  <w:r>
                    <w:rPr>
                      <w:rFonts w:ascii="仿宋_GB2312" w:hAnsi="仿宋_GB2312" w:cs="仿宋_GB2312" w:eastAsia="仿宋_GB2312"/>
                      <w:sz w:val="20"/>
                    </w:rPr>
                    <w:t>售后服务要求：</w:t>
                  </w:r>
                </w:p>
                <w:p>
                  <w:pPr>
                    <w:pStyle w:val="null3"/>
                    <w:numPr>
                      <w:ilvl w:val="0"/>
                      <w:numId w:val="1"/>
                    </w:numPr>
                    <w:jc w:val="left"/>
                  </w:pPr>
                  <w:r>
                    <w:rPr>
                      <w:rFonts w:ascii="仿宋_GB2312" w:hAnsi="仿宋_GB2312" w:cs="仿宋_GB2312" w:eastAsia="仿宋_GB2312"/>
                      <w:sz w:val="20"/>
                    </w:rPr>
                    <w:t>成交供应商须指派专人负责与采购人联系售后服务事宜；</w:t>
                  </w:r>
                </w:p>
                <w:p>
                  <w:pPr>
                    <w:pStyle w:val="null3"/>
                    <w:numPr>
                      <w:ilvl w:val="0"/>
                      <w:numId w:val="1"/>
                    </w:numPr>
                    <w:jc w:val="left"/>
                  </w:pPr>
                  <w:r>
                    <w:rPr>
                      <w:rFonts w:ascii="仿宋_GB2312" w:hAnsi="仿宋_GB2312" w:cs="仿宋_GB2312" w:eastAsia="仿宋_GB2312"/>
                      <w:sz w:val="20"/>
                    </w:rPr>
                    <w:t>质保期自采购人在质量验收单（终验）上签字之日起计算，质保费用计入总价；</w:t>
                  </w:r>
                </w:p>
                <w:p>
                  <w:pPr>
                    <w:pStyle w:val="null3"/>
                    <w:numPr>
                      <w:ilvl w:val="0"/>
                      <w:numId w:val="1"/>
                    </w:numPr>
                    <w:jc w:val="left"/>
                  </w:pPr>
                  <w:r>
                    <w:rPr>
                      <w:rFonts w:ascii="仿宋_GB2312" w:hAnsi="仿宋_GB2312" w:cs="仿宋_GB2312" w:eastAsia="仿宋_GB2312"/>
                      <w:sz w:val="20"/>
                    </w:rPr>
                    <w:t>售后服务响应时间为：</w:t>
                  </w:r>
                  <w:r>
                    <w:rPr>
                      <w:rFonts w:ascii="仿宋_GB2312" w:hAnsi="仿宋_GB2312" w:cs="仿宋_GB2312" w:eastAsia="仿宋_GB2312"/>
                      <w:sz w:val="20"/>
                    </w:rPr>
                    <w:t>7x24小时免费上门服务；</w:t>
                  </w:r>
                </w:p>
                <w:p>
                  <w:pPr>
                    <w:pStyle w:val="null3"/>
                    <w:numPr>
                      <w:ilvl w:val="0"/>
                      <w:numId w:val="1"/>
                    </w:numPr>
                    <w:jc w:val="left"/>
                  </w:pPr>
                  <w:r>
                    <w:rPr>
                      <w:rFonts w:ascii="仿宋_GB2312" w:hAnsi="仿宋_GB2312" w:cs="仿宋_GB2312" w:eastAsia="仿宋_GB2312"/>
                      <w:sz w:val="20"/>
                    </w:rPr>
                    <w:t>其他要求：</w:t>
                  </w:r>
                </w:p>
                <w:p>
                  <w:pPr>
                    <w:pStyle w:val="null3"/>
                    <w:numPr>
                      <w:ilvl w:val="0"/>
                      <w:numId w:val="1"/>
                    </w:numPr>
                    <w:jc w:val="left"/>
                  </w:pPr>
                  <w:r>
                    <w:rPr>
                      <w:rFonts w:ascii="仿宋_GB2312" w:hAnsi="仿宋_GB2312" w:cs="仿宋_GB2312" w:eastAsia="仿宋_GB2312"/>
                      <w:sz w:val="20"/>
                    </w:rPr>
                    <w:t>保证质量可靠，为市场最新或主流产品，进货渠道成交供应商提供的产品及材料必须正常，配置合理齐全，应全面满足采购文件的要求，采购文件未明确要求的内容，成交供应商须按招标产品主流标准配置或以采购人的补充要求为准。所供产品工艺质量应严格按国家最新发布的规范标准执行，如发生质量问题由成交供应商承担全部责任。</w:t>
                  </w:r>
                </w:p>
                <w:p>
                  <w:pPr>
                    <w:pStyle w:val="null3"/>
                    <w:numPr>
                      <w:ilvl w:val="0"/>
                      <w:numId w:val="1"/>
                    </w:numPr>
                    <w:jc w:val="left"/>
                  </w:pPr>
                  <w:r>
                    <w:rPr>
                      <w:rFonts w:ascii="仿宋_GB2312" w:hAnsi="仿宋_GB2312" w:cs="仿宋_GB2312" w:eastAsia="仿宋_GB2312"/>
                      <w:sz w:val="20"/>
                    </w:rPr>
                    <w:t>成交供应商应保证所有产品的完好无损包括配套包装，如有缺漏、损坏，由成交供应商负责调换、补齐或赔偿。</w:t>
                  </w:r>
                </w:p>
                <w:p>
                  <w:pPr>
                    <w:pStyle w:val="null3"/>
                    <w:numPr>
                      <w:ilvl w:val="0"/>
                      <w:numId w:val="1"/>
                    </w:numPr>
                    <w:jc w:val="left"/>
                  </w:pPr>
                  <w:r>
                    <w:rPr>
                      <w:rFonts w:ascii="仿宋_GB2312" w:hAnsi="仿宋_GB2312" w:cs="仿宋_GB2312" w:eastAsia="仿宋_GB2312"/>
                      <w:sz w:val="20"/>
                    </w:rPr>
                    <w:t>采购人使用产品过程中因产品质量、产品缺陷等造成财产损失的，由成交供应商负责解决并承担全部责任。</w:t>
                  </w:r>
                </w:p>
                <w:p>
                  <w:pPr>
                    <w:pStyle w:val="null3"/>
                    <w:numPr>
                      <w:ilvl w:val="0"/>
                      <w:numId w:val="1"/>
                    </w:numPr>
                    <w:jc w:val="left"/>
                  </w:pPr>
                  <w:r>
                    <w:rPr>
                      <w:rFonts w:ascii="仿宋_GB2312" w:hAnsi="仿宋_GB2312" w:cs="仿宋_GB2312" w:eastAsia="仿宋_GB2312"/>
                      <w:sz w:val="20"/>
                    </w:rPr>
                    <w:t>服务方式：产品实行</w:t>
                  </w:r>
                  <w:r>
                    <w:rPr>
                      <w:rFonts w:ascii="仿宋_GB2312" w:hAnsi="仿宋_GB2312" w:cs="仿宋_GB2312" w:eastAsia="仿宋_GB2312"/>
                      <w:sz w:val="20"/>
                    </w:rPr>
                    <w:t>“三包”，并承担由此产生的包装、运输等一切费用。</w:t>
                  </w:r>
                </w:p>
                <w:p>
                  <w:pPr>
                    <w:pStyle w:val="null3"/>
                    <w:numPr>
                      <w:ilvl w:val="0"/>
                      <w:numId w:val="1"/>
                    </w:numPr>
                    <w:jc w:val="left"/>
                  </w:pPr>
                  <w:r>
                    <w:rPr>
                      <w:rFonts w:ascii="仿宋_GB2312" w:hAnsi="仿宋_GB2312" w:cs="仿宋_GB2312" w:eastAsia="仿宋_GB2312"/>
                      <w:sz w:val="20"/>
                    </w:rPr>
                    <w:t>对于存在质量问题或者短少的产品，成交供应商应在接到采购人的通知</w:t>
                  </w:r>
                  <w:r>
                    <w:rPr>
                      <w:rFonts w:ascii="仿宋_GB2312" w:hAnsi="仿宋_GB2312" w:cs="仿宋_GB2312" w:eastAsia="仿宋_GB2312"/>
                      <w:sz w:val="20"/>
                    </w:rPr>
                    <w:t>5个日历日内负责修复，调换、重新制作或补齐。</w:t>
                  </w:r>
                </w:p>
                <w:p>
                  <w:pPr>
                    <w:pStyle w:val="null3"/>
                    <w:numPr>
                      <w:ilvl w:val="0"/>
                      <w:numId w:val="1"/>
                    </w:numPr>
                    <w:jc w:val="left"/>
                  </w:pPr>
                  <w:r>
                    <w:rPr>
                      <w:rFonts w:ascii="仿宋_GB2312" w:hAnsi="仿宋_GB2312" w:cs="仿宋_GB2312" w:eastAsia="仿宋_GB2312"/>
                      <w:sz w:val="20"/>
                    </w:rPr>
                    <w:t>在最终验收后的质量保证期内，成交供应商应对设计、工艺或材料等的缺陷而产生的故障负责（负责解决并承担全部费用）。质保期满后如出现此类问题亦应负责。</w:t>
                  </w:r>
                </w:p>
                <w:p>
                  <w:pPr>
                    <w:pStyle w:val="null3"/>
                    <w:numPr>
                      <w:ilvl w:val="0"/>
                      <w:numId w:val="1"/>
                    </w:numPr>
                    <w:jc w:val="left"/>
                  </w:pPr>
                  <w:r>
                    <w:rPr>
                      <w:rFonts w:ascii="仿宋_GB2312" w:hAnsi="仿宋_GB2312" w:cs="仿宋_GB2312" w:eastAsia="仿宋_GB2312"/>
                      <w:sz w:val="20"/>
                    </w:rPr>
                    <w:t>成交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采购文件要求对待。</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8）对于未按约定提供质保服务的成交供应商或违约的成交供应商，采购人将拒绝其</w:t>
                  </w:r>
                </w:p>
                <w:p>
                  <w:pPr>
                    <w:pStyle w:val="null3"/>
                    <w:jc w:val="left"/>
                  </w:pPr>
                  <w:r>
                    <w:rPr>
                      <w:rFonts w:ascii="仿宋_GB2312" w:hAnsi="仿宋_GB2312" w:cs="仿宋_GB2312" w:eastAsia="仿宋_GB2312"/>
                      <w:sz w:val="20"/>
                    </w:rPr>
                    <w:t>参加采购人单位的政府采购项目。且采购人有权委托第三方进行维修，所产生的费用由成交供应商承担，采购人有权从质保金中直接扣除，不足部分应由成交供应商支付。</w:t>
                  </w:r>
                </w:p>
                <w:p>
                  <w:pPr>
                    <w:pStyle w:val="null3"/>
                    <w:jc w:val="left"/>
                  </w:pPr>
                  <w:r>
                    <w:rPr>
                      <w:rFonts w:ascii="仿宋_GB2312" w:hAnsi="仿宋_GB2312" w:cs="仿宋_GB2312" w:eastAsia="仿宋_GB2312"/>
                      <w:sz w:val="20"/>
                    </w:rPr>
                    <w:t>报价说明：</w:t>
                  </w:r>
                  <w:r>
                    <w:rPr>
                      <w:rFonts w:ascii="仿宋_GB2312" w:hAnsi="仿宋_GB2312" w:cs="仿宋_GB2312" w:eastAsia="仿宋_GB2312"/>
                      <w:sz w:val="20"/>
                    </w:rPr>
                    <w:t>供应商的报价是供应商响应采购项目要求的全部工作内容的价格体现，包括供应商完成本项目所需的直接费、间接费、利润、税金及其他相关的一切费用，包括但不限于：产品费、附件费、工具费、验收费、运输费、保险费、技术服务费（含售后）、招标代理费、税金、利润及不可预见费等全部费用；响应总报价中不得包含采购文件要求以外的内容，否则，在评审时不予核减。在提供项目实施过程中出现的任何遗漏，均由成交供应商免费提供，采购人将不再支付任何费用。</w:t>
                  </w:r>
                </w:p>
                <w:p>
                  <w:pPr>
                    <w:pStyle w:val="null3"/>
                    <w:jc w:val="left"/>
                  </w:pPr>
                  <w:r>
                    <w:rPr>
                      <w:rFonts w:ascii="仿宋_GB2312" w:hAnsi="仿宋_GB2312" w:cs="仿宋_GB2312" w:eastAsia="仿宋_GB2312"/>
                      <w:sz w:val="20"/>
                    </w:rPr>
                    <w:t>备注：技术参数与性能指标的所有内容，所有参数需提供证明材料并加盖供应商公章，未提供相关证明材料或提供的证明材料不能证明其满足谈判文件要求视为负偏离。</w:t>
                  </w:r>
                </w:p>
                <w:p>
                  <w:pPr>
                    <w:pStyle w:val="null3"/>
                    <w:jc w:val="left"/>
                  </w:pPr>
                  <w:r>
                    <w:rPr>
                      <w:rFonts w:ascii="仿宋_GB2312" w:hAnsi="仿宋_GB2312" w:cs="仿宋_GB2312" w:eastAsia="仿宋_GB2312"/>
                      <w:sz w:val="20"/>
                    </w:rPr>
                    <w:t>备注：佐证材料，包括但不限于：面料检测机构出具的检测报告、生产商出具的产品规格表、技术白皮书（如有）、制造商官方网站发布的产品信息、说明书、产品宣传彩页等或相关承诺函等。参数未提供有效佐证材料的其参数评审按负偏离计。注意：所有参数指标如有负偏离，其投标按无效处理。</w:t>
                  </w:r>
                </w:p>
              </w:tc>
            </w:tr>
            <w:tr>
              <w:tc>
                <w:tcPr>
                  <w:tcW w:type="dxa" w:w="2538"/>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交货时间：合同签订后</w:t>
                  </w:r>
                  <w:r>
                    <w:rPr>
                      <w:rFonts w:ascii="仿宋_GB2312" w:hAnsi="仿宋_GB2312" w:cs="仿宋_GB2312" w:eastAsia="仿宋_GB2312"/>
                      <w:sz w:val="20"/>
                    </w:rPr>
                    <w:t>10天内</w:t>
                  </w:r>
                </w:p>
                <w:p>
                  <w:pPr>
                    <w:pStyle w:val="null3"/>
                    <w:jc w:val="left"/>
                  </w:pPr>
                  <w:r>
                    <w:rPr>
                      <w:rFonts w:ascii="仿宋_GB2312" w:hAnsi="仿宋_GB2312" w:cs="仿宋_GB2312" w:eastAsia="仿宋_GB2312"/>
                      <w:sz w:val="20"/>
                    </w:rPr>
                    <w:t>交货地点：采购人指定地点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预付款，合同签订后，并向甲方提供合同总金额相应等额的增值税专用发票后，达到付款条件起10个工作日内（不可抗力因素除外），达到付款条件起10个工作日内，支付合同总金额的50.0%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进度款，货物全部运抵现场并经甲方初步核对数量、外观、型号无误最终验收合格，乙方持《终验合格单》原件并向甲方提供合同总金额的剩余金额增值税专用发票后 ，达到付款条件起10个工作日内（不可抗力的因素除外），达到付款条件起10个工作日内，支付合同总金额的50.0%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按照谈判文件、国家相关标准、谈判响应文件及合同约定执行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质量保修范围按照国家相关规定及⾏业惯例执⾏。 保修期：按照国家相关规定及⾏业惯例执⾏。</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成交供应商所交付货物不符合其投标承诺，存在偷工减料、以次充好情形的，采购人要求更换一次后仍不符合约定的，采购人有权解除采购合同，并将有关情况上报政府采购监管部门处理。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谈判文件其他补充事宜 1、落实政府采购政策： 1.1《关于进一步加大政府采购支持中小企业力度的通知》（财库 〔2022〕19号）、《政府采购促进中小企业发展管理办法》（财库〔2020〕46号）、《财政部 司法部关于政府采购支持监 狱企业发展有关问题的通知》（财库〔2014〕68号）、《关于促进残疾人就业政府采购政策的通知》（财库〔2017〕141 号）。 1.2《国务院办公厅关于建立政府强制采购节能产品制度的通知》（国办发〔2007〕51号）、《财政部 发展改革委 生态环境部 市场监管总局关于调整优化节能产品、环境标志产品政府采购执行机制的通知》（财库〔2019〕9号）、《关于 印发环境标志产品政府采购品目清单的通知》（财库〔2019〕18号）、《关于印发节能产品政府采购品目清单的通知》（财 库〔2019〕19号）。 1.3《关于运用政府采购政策支持乡村产业振兴的通知》（财库〔2021〕19 号）、《关于印发&lt;关于 深入开展政府采购脱贫地区农副产品工作推进乡村产业振兴的实施意见&gt;的通知》（财库〔2021〕20 号）。 1.4《国家互联 网信息办公室 工业和信息化部 公安部 财政部 国家认证认可监督管理委员会关于调整网络安全专用产品安全管理有关事项的 公告》（2023年第1号）。 1.5《陕西省财政厅关于加快推进我省中小企业政府采购信用融资工作的通知》（陕财办采 〔2020〕15 号）、《陕西省财政厅关于印发&lt;陕西省中小企业政府采购信用融资办法&gt;的通知》（陕财办采〔2018〕23 号）。 1.6《关于扩大政府采购支持绿色建材促进建筑品质提升政策实施范围的通知》（财库〔2022〕35号）、《财政部办 公厅 住房城乡建设部办公厅 工业和信息化部办公厅关于印发&lt;政府采购支持绿色建材促进建筑品质提升政策项目实施指南&gt; 的通知》（ 财办库〔2023〕52号）。 1.7《国务院办公厅关于在政府采购中实施本国产品标准及相关政策的通知》（国办 发〔2025〕34号）。 若享受以上政策优惠的企业，提供相应声明函或品目清单范围内产品的有效认证证书或相关证明。 2、谈判产品为节能、环境标志产品，符合谈判文件要求的，可优先采购，价格扣除百分比计算公式为：节能、环境标志产品 清单中的产品价格占谈判响应总价的百分比×5%，用扣除后的价格参与评审。 3、支持本国产品。根据《国务院办公厅关于 在政府采购中实施本国产品标准及相关政策的通知》（国办发﹝2025﹞34号）和《陕西省财政厅关于在政府采购活动中实施 本国产品标准及相关政策的通知》（陕财办采〔2026〕2 号）要求，当采购项目或采购包的采购标的仅包含单一产品时，政 府采购活动中既有本国产品又有非本国产品参与竞争的，依法对本国产品给予价格评审优惠，对本国产品的报价给予20%的 价格扣除，用扣除后的价格参与评审。当采购项目或者采购包的采购标的中含有多种产品，供应商为该采购项目或者采购包提 供的符合本国产品标准的产品成本之和占该供应商提供的全部产品成本之和的比例达到80%以上时，且供应商在投标（响 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本国产品标准适用于货物，包括政府采购货物项目和服务项目中涉及的货物。适用本国产品标准的货物具体是指《政府采购品 目分类目录》中的货物类产品，但不包括其中的房屋和构筑物，文物和陈列品，图书和档案，特种动植物，农林牧渔业产品， 矿与矿物，电力、城市燃气、蒸汽和热水、水，食品、饮料和烟草原料，无形资产。 供应商对其提供的产品出具《关于符合 本国产品标准的声明函》（格式详见第七章投标文件格式）或财政部会同有关部门规定的有关证明文件，《声明函》或有关证 明文件符合要求的，该产品视为本国产品。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2、提供《西安市政府采购供应商基本资格条件承诺函》。</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提供《西安市政府采购供应商基本资格条件承诺函》</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资格证明文件部分.docx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响应文件按谈判文件要求签署、盖章</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响应有效期满足谈判文件要求</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需满足“第三章 谈判项目技术、服务、商务及其他要求”中技术参数与性能指标的所有内容，所有参数需提供证明材料并加盖供应商公章，未提供相关证明材料或提供的证明材料不能证明其满⾜谈判⽂件要求视为负偏离。 备注：佐证材料，包括但不限于：面料检测机构出具的检测报告、生产商出具的产品规格表、技术白皮书（如有）、制造商官方网站发布的产品信息、说明书、产品宣传彩页等或相关承诺函等。参数未提供有效佐证材料的其参数评审按负偏离计。 注意：所有参数指标如有负偏离，其投标按无效处理。</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本国产品说明 中小企业声明函 商务应答表 报价表 中国境内生产的组件成本核算基本规则 响应文件封面 产品技术参数表 残疾人福利性单位声明函 资格证明文件部分.docx 标的清单 关于符合本国产品标准的声明函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完全理解并响应采购文件合同条款的要求，且未含有采购人不能接受的附加条件的。</w:t>
            </w:r>
          </w:p>
        </w:tc>
        <w:tc>
          <w:tcPr>
            <w:tcW w:type="dxa" w:w="1661"/>
          </w:tcPr>
          <w:p>
            <w:pPr>
              <w:pStyle w:val="null3"/>
            </w:pPr>
            <w:r>
              <w:rPr>
                <w:rFonts w:ascii="仿宋_GB2312" w:hAnsi="仿宋_GB2312" w:cs="仿宋_GB2312" w:eastAsia="仿宋_GB2312"/>
              </w:rPr>
              <w:t>商务应答表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资格证明文件部分.docx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不存在其它不符合法律法规或谈判文件规定的投标无效条款的情形</w:t>
            </w:r>
          </w:p>
        </w:tc>
        <w:tc>
          <w:tcPr>
            <w:tcW w:type="dxa" w:w="1661"/>
          </w:tcPr>
          <w:p>
            <w:pPr>
              <w:pStyle w:val="null3"/>
            </w:pPr>
            <w:r>
              <w:rPr>
                <w:rFonts w:ascii="仿宋_GB2312" w:hAnsi="仿宋_GB2312" w:cs="仿宋_GB2312" w:eastAsia="仿宋_GB2312"/>
              </w:rPr>
              <w:t>资格证明文件部分.docx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910"/>
          </w:tcPr>
          <w:p>
            <w:pPr>
              <w:pStyle w:val="null3"/>
            </w:pPr>
            <w:r>
              <w:rPr>
                <w:rFonts w:ascii="仿宋_GB2312" w:hAnsi="仿宋_GB2312" w:cs="仿宋_GB2312" w:eastAsia="仿宋_GB2312"/>
              </w:rPr>
              <w:t>中小企业声明函</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910"/>
          </w:tcPr>
          <w:p>
            <w:pPr>
              <w:pStyle w:val="null3"/>
            </w:pPr>
            <w:r>
              <w:rPr>
                <w:rFonts w:ascii="仿宋_GB2312" w:hAnsi="仿宋_GB2312" w:cs="仿宋_GB2312" w:eastAsia="仿宋_GB2312"/>
              </w:rPr>
              <w:t>本国产品说明 关于符合本国产品标准的声明函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详见附件：资格证明文件部分.docx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