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版本号：TZZB-HZ-2026138C20260610002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佛坪县大河坝镇高桥村贺家沟道路路面改造提升工程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TZZB-HZ-2026138C</w:t>
      </w:r>
      <w:r>
        <w:br/>
      </w:r>
      <w:r>
        <w:br/>
      </w:r>
      <w:r>
        <w:br/>
      </w:r>
    </w:p>
    <w:p>
      <w:pPr>
        <w:pStyle w:val="null3"/>
        <w:jc w:val="center"/>
        <w:outlineLvl w:val="2"/>
      </w:pPr>
      <w:r>
        <w:rPr>
          <w:rFonts w:ascii="仿宋_GB2312" w:hAnsi="仿宋_GB2312" w:cs="仿宋_GB2312" w:eastAsia="仿宋_GB2312"/>
          <w:sz w:val="28"/>
          <w:b/>
        </w:rPr>
        <w:t>佛坪县交通运输局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佛坪县交通运输局</w:t>
      </w:r>
      <w:r>
        <w:rPr>
          <w:rFonts w:ascii="仿宋_GB2312" w:hAnsi="仿宋_GB2312" w:cs="仿宋_GB2312" w:eastAsia="仿宋_GB2312"/>
        </w:rPr>
        <w:t>委托，拟对</w:t>
      </w:r>
      <w:r>
        <w:rPr>
          <w:rFonts w:ascii="仿宋_GB2312" w:hAnsi="仿宋_GB2312" w:cs="仿宋_GB2312" w:eastAsia="仿宋_GB2312"/>
        </w:rPr>
        <w:t>佛坪县大河坝镇高桥村贺家沟道路路面改造提升工程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TZZB-HZ-2026138C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佛坪县大河坝镇高桥村贺家沟道路路面改造提升工程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地点大河坝镇高桥村贺家沟，该段路线总里程为2.320Km，本次路面提升改造2.020Km。道路等级为四级（Ⅱ类）公路，经村民多次拓宽，绝大部分路基宽度6.5米，路面宽度6.0米，结构为20cm水泥混凝土。本次提升改造主要沿线两段宽度不足6.5米路段，加宽至6.5米，对路面加铺20cm C30水泥混凝土路面，并对沿线坍塌边坡进行处置，增设边沟、排水等设置，并重新设置护栏、标线等安全设置。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采购包1（佛坪县大河坝镇高桥村贺家沟道路路面改造提升工程）：属于专门面向中小企业采购。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3、汉中市政府采购供应商资格承诺函：供应商需提供《汉中市政府采购供应商资格承诺函》；（材料应清晰可辨并进行电子签章）</w:t>
      </w:r>
    </w:p>
    <w:p>
      <w:pPr>
        <w:pStyle w:val="null3"/>
      </w:pPr>
      <w:r>
        <w:rPr>
          <w:rFonts w:ascii="仿宋_GB2312" w:hAnsi="仿宋_GB2312" w:cs="仿宋_GB2312" w:eastAsia="仿宋_GB2312"/>
        </w:rPr>
        <w:t>4、企业资质要求：供应商须具备公路工程施工总承包三级及以上资质或路基路面养护乙级及以上资质，并具有有效的安全生产许可证；（材料应清晰可辨并进行电子签章）</w:t>
      </w:r>
    </w:p>
    <w:p>
      <w:pPr>
        <w:pStyle w:val="null3"/>
      </w:pPr>
      <w:r>
        <w:rPr>
          <w:rFonts w:ascii="仿宋_GB2312" w:hAnsi="仿宋_GB2312" w:cs="仿宋_GB2312" w:eastAsia="仿宋_GB2312"/>
        </w:rPr>
        <w:t>5、项目经理资质要求：拟派项目经理须具有公路工程专业二级及以上注册建造师资格和有效的安全考核合格证书（B证），且无在岗工程(出具无在岗承诺书）；（材料应清晰可辨并进行电子签章）</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佛坪县河堤街4号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0916-8912182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采购包1：3,065,695.21元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水泥</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说明：成交后签订合同前</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代理服务费收费标准：1.本项目采购代理服务费按照合同约定进行收取。 2.采购代理服务费以转账形式缴纳至以下账户：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佛坪县交通运输局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本项目采购文件、响应文件；本合同及附件文本；合同履行时国家及行业现行的标准和技术规范。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3,065,695.21</w:t>
      </w:r>
    </w:p>
    <w:p>
      <w:pPr>
        <w:pStyle w:val="null3"/>
      </w:pPr>
      <w:r>
        <w:rPr>
          <w:rFonts w:ascii="仿宋_GB2312" w:hAnsi="仿宋_GB2312" w:cs="仿宋_GB2312" w:eastAsia="仿宋_GB2312"/>
        </w:rPr>
        <w:t>采购包最高限价（元）: 3,065,695.21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佛坪县大河坝镇高桥村贺家沟道路路面改造提升工程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3,065,695.21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标的名称：佛坪县大河坝镇高桥村贺家沟道路路面改造提升工程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一）工程概况</w:t>
            </w:r>
          </w:p>
          <w:p>
            <w:pPr>
              <w:pStyle w:val="null3"/>
            </w:pPr>
            <w:r>
              <w:rPr>
                <w:rFonts w:ascii="仿宋_GB2312" w:hAnsi="仿宋_GB2312" w:cs="仿宋_GB2312" w:eastAsia="仿宋_GB2312"/>
                <w:sz w:val="20"/>
              </w:rPr>
              <w:t>佛坪县大河坝镇高桥村贺家沟道路路面改造提升工程项目由陕西恒纳尔工程科技有限公司设计，建设地点大河坝镇高桥村贺家沟，该段路线总里程为</w:t>
            </w:r>
            <w:r>
              <w:rPr>
                <w:rFonts w:ascii="仿宋_GB2312" w:hAnsi="仿宋_GB2312" w:cs="仿宋_GB2312" w:eastAsia="仿宋_GB2312"/>
                <w:sz w:val="20"/>
              </w:rPr>
              <w:t>2.320Km，本次路面提升改造2.020Km。道路等级为四级（Ⅱ类）公路，经村民多次拓宽，绝大部分路基宽度6.5米，路面宽度6.0米，结构为20cm水泥混凝土。本次提升改造主要沿线两段宽度不足6.5米路段，加宽至6.5米，对路面加铺20cm C30水泥混凝土路面，并对沿线坍塌边坡进行处置，增设边沟、排水等设置，并重新设置护栏、标线等安全设置。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编制依据：</w:t>
            </w:r>
            <w:r>
              <w:br/>
            </w:r>
            <w:r>
              <w:rPr>
                <w:rFonts w:ascii="仿宋_GB2312" w:hAnsi="仿宋_GB2312" w:cs="仿宋_GB2312" w:eastAsia="仿宋_GB2312"/>
                <w:sz w:val="20"/>
              </w:rPr>
              <w:t>1、佛坪县大河坝镇高桥村贺家沟道路路面改造提升工程施工图纸；</w:t>
            </w:r>
          </w:p>
          <w:p>
            <w:pPr>
              <w:pStyle w:val="null3"/>
              <w:jc w:val="both"/>
            </w:pPr>
            <w:r>
              <w:rPr>
                <w:rFonts w:ascii="仿宋_GB2312" w:hAnsi="仿宋_GB2312" w:cs="仿宋_GB2312" w:eastAsia="仿宋_GB2312"/>
                <w:sz w:val="20"/>
              </w:rPr>
              <w:t>2、《公路工程建设项目概算预算编制办法》（JTG3830——2018），以下简称“编制办法”；</w:t>
            </w:r>
          </w:p>
          <w:p>
            <w:pPr>
              <w:pStyle w:val="null3"/>
              <w:jc w:val="both"/>
            </w:pPr>
            <w:r>
              <w:rPr>
                <w:rFonts w:ascii="仿宋_GB2312" w:hAnsi="仿宋_GB2312" w:cs="仿宋_GB2312" w:eastAsia="仿宋_GB2312"/>
                <w:sz w:val="20"/>
              </w:rPr>
              <w:t>3、《公路工程预算定额》（JTG/T 3832——2018）；</w:t>
            </w:r>
          </w:p>
          <w:p>
            <w:pPr>
              <w:pStyle w:val="null3"/>
              <w:jc w:val="both"/>
            </w:pPr>
            <w:r>
              <w:rPr>
                <w:rFonts w:ascii="仿宋_GB2312" w:hAnsi="仿宋_GB2312" w:cs="仿宋_GB2312" w:eastAsia="仿宋_GB2312"/>
                <w:sz w:val="20"/>
              </w:rPr>
              <w:t>4、《公路工程机械台班费用定额》（JTG/T 3833——2018）；</w:t>
            </w:r>
          </w:p>
          <w:p>
            <w:pPr>
              <w:pStyle w:val="null3"/>
              <w:jc w:val="both"/>
            </w:pPr>
            <w:r>
              <w:rPr>
                <w:rFonts w:ascii="仿宋_GB2312" w:hAnsi="仿宋_GB2312" w:cs="仿宋_GB2312" w:eastAsia="仿宋_GB2312"/>
                <w:sz w:val="20"/>
              </w:rPr>
              <w:t>5、交通运输部关于调整《公路工程建设项目投资估算编制办法》（JTG 3820——2018）和《公路工程建设项目概算预算编制办法》（JTG 3820——2018）中“税金”有关规定的公告（交办公路[2019]26号）；</w:t>
            </w:r>
          </w:p>
          <w:p>
            <w:pPr>
              <w:pStyle w:val="null3"/>
              <w:jc w:val="both"/>
            </w:pPr>
            <w:r>
              <w:rPr>
                <w:rFonts w:ascii="仿宋_GB2312" w:hAnsi="仿宋_GB2312" w:cs="仿宋_GB2312" w:eastAsia="仿宋_GB2312"/>
                <w:sz w:val="20"/>
              </w:rPr>
              <w:t>6、交通运输部关于发布《公路工程建设项目投资估算编制办法》《公路工程建设项目概算预算编制办法》及《公路工程估算指标》《公路工程概算定额》《公路工程预算定额》《公路工程机械台班费用定额》[2018]第86号公告；</w:t>
            </w:r>
          </w:p>
          <w:p>
            <w:pPr>
              <w:pStyle w:val="null3"/>
              <w:jc w:val="both"/>
            </w:pPr>
            <w:r>
              <w:rPr>
                <w:rFonts w:ascii="仿宋_GB2312" w:hAnsi="仿宋_GB2312" w:cs="仿宋_GB2312" w:eastAsia="仿宋_GB2312"/>
                <w:sz w:val="20"/>
              </w:rPr>
              <w:t>7、《陕西省交通运输厅《关于印发〈公路工程建设项目投资估算编制办法〉〈公路工程建设项目概算预算编制办法〉补充规定的通知》（陕交发〔2019〕93 号）；</w:t>
            </w:r>
          </w:p>
          <w:p>
            <w:pPr>
              <w:pStyle w:val="null3"/>
              <w:jc w:val="both"/>
            </w:pPr>
            <w:r>
              <w:rPr>
                <w:rFonts w:ascii="仿宋_GB2312" w:hAnsi="仿宋_GB2312" w:cs="仿宋_GB2312" w:eastAsia="仿宋_GB2312"/>
                <w:sz w:val="20"/>
              </w:rPr>
              <w:t>8、陕西省地方标准《干线公路养护工程预算编制规范》（DB61/T 1998-2025），《干线公路养护工程预算编制规范》，《干线公路养护工程预算定额》；</w:t>
            </w:r>
          </w:p>
          <w:p>
            <w:pPr>
              <w:pStyle w:val="null3"/>
            </w:pPr>
            <w:r>
              <w:rPr>
                <w:rFonts w:ascii="仿宋_GB2312" w:hAnsi="仿宋_GB2312" w:cs="仿宋_GB2312" w:eastAsia="仿宋_GB2312"/>
                <w:sz w:val="20"/>
              </w:rPr>
              <w:t>9、《财政部国家税务总局关于全面推开营业税改征增值税试点的通知》（财税﹝2016﹞36 号）及交通运输部关于印发《公路工程营业税改增值税计价依据调整方案》的通知（交办公路【2016】66号）。</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（三）商务要求（本项为实质性响应要求，不得负偏离）</w:t>
            </w:r>
          </w:p>
          <w:p>
            <w:pPr>
              <w:pStyle w:val="null3"/>
              <w:ind w:firstLine="400"/>
              <w:jc w:val="both"/>
            </w:pPr>
            <w:r>
              <w:rPr>
                <w:rFonts w:ascii="仿宋_GB2312" w:hAnsi="仿宋_GB2312" w:cs="仿宋_GB2312" w:eastAsia="仿宋_GB2312"/>
                <w:sz w:val="20"/>
              </w:rPr>
              <w:t>1.工期：</w:t>
            </w:r>
            <w:r>
              <w:rPr>
                <w:rFonts w:ascii="仿宋_GB2312" w:hAnsi="仿宋_GB2312" w:cs="仿宋_GB2312" w:eastAsia="仿宋_GB2312"/>
                <w:sz w:val="20"/>
              </w:rPr>
              <w:t>180天。</w:t>
            </w:r>
          </w:p>
          <w:p>
            <w:pPr>
              <w:pStyle w:val="null3"/>
              <w:ind w:firstLine="400"/>
              <w:jc w:val="both"/>
            </w:pPr>
            <w:r>
              <w:rPr>
                <w:rFonts w:ascii="仿宋_GB2312" w:hAnsi="仿宋_GB2312" w:cs="仿宋_GB2312" w:eastAsia="仿宋_GB2312"/>
                <w:sz w:val="20"/>
              </w:rPr>
              <w:t>2.质量要求：交工验收的质量等级评定：合格；竣工验收的质量等级评定：合格。</w:t>
            </w:r>
          </w:p>
          <w:p>
            <w:pPr>
              <w:pStyle w:val="null3"/>
              <w:ind w:firstLine="400"/>
              <w:jc w:val="both"/>
            </w:pPr>
            <w:r>
              <w:rPr>
                <w:rFonts w:ascii="仿宋_GB2312" w:hAnsi="仿宋_GB2312" w:cs="仿宋_GB2312" w:eastAsia="仿宋_GB2312"/>
                <w:sz w:val="20"/>
              </w:rPr>
              <w:t>3.缺陷责任期：自交工验收合格之日起满1年。</w:t>
            </w:r>
          </w:p>
          <w:p>
            <w:pPr>
              <w:pStyle w:val="null3"/>
              <w:ind w:firstLine="400"/>
              <w:jc w:val="both"/>
            </w:pPr>
            <w:r>
              <w:rPr>
                <w:rFonts w:ascii="仿宋_GB2312" w:hAnsi="仿宋_GB2312" w:cs="仿宋_GB2312" w:eastAsia="仿宋_GB2312"/>
                <w:sz w:val="20"/>
              </w:rPr>
              <w:t>4.质量保修期：自竣工验收合格之日起满1年。</w:t>
            </w:r>
          </w:p>
          <w:p>
            <w:pPr>
              <w:pStyle w:val="null3"/>
              <w:ind w:firstLine="400"/>
              <w:jc w:val="both"/>
            </w:pPr>
            <w:r>
              <w:rPr>
                <w:rFonts w:ascii="仿宋_GB2312" w:hAnsi="仿宋_GB2312" w:cs="仿宋_GB2312" w:eastAsia="仿宋_GB2312"/>
                <w:sz w:val="20"/>
              </w:rPr>
              <w:t>5.漏项处理：施工过程中发现工程量清单中存在漏项工程的，该漏项工程作为本项目采购的组成部分，采购人和供应商可以按照双方合同的规定协商解决。</w:t>
            </w:r>
          </w:p>
          <w:p>
            <w:pPr>
              <w:pStyle w:val="null3"/>
              <w:ind w:firstLine="400"/>
              <w:jc w:val="both"/>
            </w:pPr>
            <w:r>
              <w:rPr>
                <w:rFonts w:ascii="仿宋_GB2312" w:hAnsi="仿宋_GB2312" w:cs="仿宋_GB2312" w:eastAsia="仿宋_GB2312"/>
                <w:sz w:val="20"/>
              </w:rPr>
              <w:t>6.支付方式及合同支付约定：</w:t>
            </w:r>
          </w:p>
          <w:p>
            <w:pPr>
              <w:pStyle w:val="null3"/>
              <w:ind w:firstLine="400"/>
              <w:jc w:val="both"/>
            </w:pPr>
            <w:r>
              <w:rPr>
                <w:rFonts w:ascii="仿宋_GB2312" w:hAnsi="仿宋_GB2312" w:cs="仿宋_GB2312" w:eastAsia="仿宋_GB2312"/>
                <w:sz w:val="20"/>
              </w:rPr>
              <w:t>6.1支付方式：分期付款</w:t>
            </w:r>
          </w:p>
          <w:p>
            <w:pPr>
              <w:pStyle w:val="null3"/>
              <w:ind w:firstLine="400"/>
              <w:jc w:val="both"/>
            </w:pPr>
            <w:r>
              <w:rPr>
                <w:rFonts w:ascii="仿宋_GB2312" w:hAnsi="仿宋_GB2312" w:cs="仿宋_GB2312" w:eastAsia="仿宋_GB2312"/>
                <w:sz w:val="20"/>
              </w:rPr>
              <w:t>6.2合同支付约定：</w:t>
            </w:r>
          </w:p>
          <w:p>
            <w:pPr>
              <w:pStyle w:val="null3"/>
              <w:jc w:val="left"/>
            </w:pPr>
            <w:r>
              <w:rPr>
                <w:rFonts w:ascii="仿宋_GB2312" w:hAnsi="仿宋_GB2312" w:cs="仿宋_GB2312" w:eastAsia="仿宋_GB2312"/>
                <w:sz w:val="20"/>
                <w:shd w:fill="FFFFFF" w:val="clear"/>
              </w:rPr>
              <w:t>（1）付款条件说明： 合同签订后，根据财政部门安排 ，达到付款条件起 30 个工作日内，支付合同总金额的30.00%。</w:t>
            </w:r>
          </w:p>
          <w:p>
            <w:pPr>
              <w:pStyle w:val="null3"/>
              <w:jc w:val="left"/>
            </w:pPr>
            <w:r>
              <w:rPr>
                <w:rFonts w:ascii="仿宋_GB2312" w:hAnsi="仿宋_GB2312" w:cs="仿宋_GB2312" w:eastAsia="仿宋_GB2312"/>
                <w:sz w:val="20"/>
                <w:shd w:fill="FFFFFF" w:val="clear"/>
              </w:rPr>
              <w:t>（2）付款条件说明： 在工程施工完成进度的75%后，根据财政部门安排 ，达到付款条件起 30 个工作日内，支付合同总金额的 40.00%。</w:t>
            </w:r>
          </w:p>
          <w:p>
            <w:pPr>
              <w:pStyle w:val="null3"/>
              <w:jc w:val="left"/>
            </w:pPr>
            <w:r>
              <w:rPr>
                <w:rFonts w:ascii="仿宋_GB2312" w:hAnsi="仿宋_GB2312" w:cs="仿宋_GB2312" w:eastAsia="仿宋_GB2312"/>
                <w:sz w:val="20"/>
                <w:shd w:fill="FFFFFF" w:val="clear"/>
              </w:rPr>
              <w:t>（3） 付款条件说明： 工程完工后经甲方初步验收合格后，根据财政部门安排 ，达到付款条件起 30 个工作日内，支付合同总金额的25.00%。</w:t>
            </w:r>
          </w:p>
          <w:p>
            <w:pPr>
              <w:pStyle w:val="null3"/>
              <w:jc w:val="left"/>
            </w:pPr>
            <w:r>
              <w:rPr>
                <w:rFonts w:ascii="仿宋_GB2312" w:hAnsi="仿宋_GB2312" w:cs="仿宋_GB2312" w:eastAsia="仿宋_GB2312"/>
                <w:sz w:val="20"/>
                <w:shd w:fill="FFFFFF" w:val="clear"/>
              </w:rPr>
              <w:t>（4）付款条件说明： 项目竣工验收审计后，采购人按工程结算价款，根据财政部门安排 ，达到付款条件起 30 个工作日内，支付合同总金额的 5.00%。</w:t>
            </w:r>
          </w:p>
          <w:p>
            <w:pPr>
              <w:pStyle w:val="null3"/>
              <w:ind w:firstLine="400"/>
              <w:jc w:val="both"/>
            </w:pPr>
            <w:r>
              <w:rPr>
                <w:rFonts w:ascii="仿宋_GB2312" w:hAnsi="仿宋_GB2312" w:cs="仿宋_GB2312" w:eastAsia="仿宋_GB2312"/>
                <w:sz w:val="20"/>
              </w:rPr>
              <w:t>7.施工要求</w:t>
            </w:r>
          </w:p>
          <w:p>
            <w:pPr>
              <w:pStyle w:val="null3"/>
              <w:ind w:firstLine="400"/>
              <w:jc w:val="both"/>
            </w:pPr>
            <w:r>
              <w:rPr>
                <w:rFonts w:ascii="仿宋_GB2312" w:hAnsi="仿宋_GB2312" w:cs="仿宋_GB2312" w:eastAsia="仿宋_GB2312"/>
                <w:sz w:val="20"/>
              </w:rPr>
              <w:t>7.1 遵守国家相关法律、法规，遵守国家相关技术规范；</w:t>
            </w:r>
          </w:p>
          <w:p>
            <w:pPr>
              <w:pStyle w:val="null3"/>
              <w:ind w:firstLine="400"/>
              <w:jc w:val="both"/>
            </w:pPr>
            <w:r>
              <w:rPr>
                <w:rFonts w:ascii="仿宋_GB2312" w:hAnsi="仿宋_GB2312" w:cs="仿宋_GB2312" w:eastAsia="仿宋_GB2312"/>
                <w:sz w:val="20"/>
              </w:rPr>
              <w:t>7.2 所选材料必须保证质量可靠、进货渠道正常，符合国家环保等相关标准，满足施工要求；</w:t>
            </w:r>
          </w:p>
          <w:p>
            <w:pPr>
              <w:pStyle w:val="null3"/>
              <w:ind w:firstLine="400"/>
              <w:jc w:val="both"/>
            </w:pPr>
            <w:r>
              <w:rPr>
                <w:rFonts w:ascii="仿宋_GB2312" w:hAnsi="仿宋_GB2312" w:cs="仿宋_GB2312" w:eastAsia="仿宋_GB2312"/>
                <w:sz w:val="20"/>
              </w:rPr>
              <w:t>7.3 工程质量符合国家有关规范，确保达到合格；</w:t>
            </w:r>
          </w:p>
          <w:p>
            <w:pPr>
              <w:pStyle w:val="null3"/>
              <w:ind w:firstLine="400"/>
              <w:jc w:val="both"/>
            </w:pPr>
            <w:r>
              <w:rPr>
                <w:rFonts w:ascii="仿宋_GB2312" w:hAnsi="仿宋_GB2312" w:cs="仿宋_GB2312" w:eastAsia="仿宋_GB2312"/>
                <w:sz w:val="20"/>
              </w:rPr>
              <w:t>7.4 遵守有关施工规范和安全操作规程，采取有效的安全保障措施，确保施工安全，并承担事故的全部费用和责任；</w:t>
            </w:r>
          </w:p>
          <w:p>
            <w:pPr>
              <w:pStyle w:val="null3"/>
              <w:ind w:firstLine="400"/>
              <w:jc w:val="both"/>
            </w:pPr>
            <w:r>
              <w:rPr>
                <w:rFonts w:ascii="仿宋_GB2312" w:hAnsi="仿宋_GB2312" w:cs="仿宋_GB2312" w:eastAsia="仿宋_GB2312"/>
                <w:sz w:val="20"/>
              </w:rPr>
              <w:t>7.5 施工单位必须服从当地对治安、卫生、环保、社会保险等工程建设的统一管理，并按有关规定交纳费用以及因违反相关规定而造成的罚款；</w:t>
            </w:r>
          </w:p>
          <w:p>
            <w:pPr>
              <w:pStyle w:val="null3"/>
              <w:ind w:firstLine="400"/>
              <w:jc w:val="both"/>
            </w:pPr>
            <w:r>
              <w:rPr>
                <w:rFonts w:ascii="仿宋_GB2312" w:hAnsi="仿宋_GB2312" w:cs="仿宋_GB2312" w:eastAsia="仿宋_GB2312"/>
                <w:sz w:val="20"/>
              </w:rPr>
              <w:t>7.6 本工程不允许转包；</w:t>
            </w:r>
          </w:p>
          <w:p>
            <w:pPr>
              <w:pStyle w:val="null3"/>
              <w:ind w:firstLine="400"/>
              <w:jc w:val="both"/>
            </w:pPr>
            <w:r>
              <w:rPr>
                <w:rFonts w:ascii="仿宋_GB2312" w:hAnsi="仿宋_GB2312" w:cs="仿宋_GB2312" w:eastAsia="仿宋_GB2312"/>
                <w:sz w:val="20"/>
              </w:rPr>
              <w:t>7.7 供应商自行办理垃圾清理手续，遵守当地政府垃圾分类处理有关规定，承担自行处置不当导致的全部费用和责任。</w:t>
            </w:r>
          </w:p>
          <w:p>
            <w:pPr>
              <w:pStyle w:val="null3"/>
              <w:ind w:firstLine="400"/>
              <w:jc w:val="both"/>
            </w:pPr>
            <w:r>
              <w:rPr>
                <w:rFonts w:ascii="仿宋_GB2312" w:hAnsi="仿宋_GB2312" w:cs="仿宋_GB2312" w:eastAsia="仿宋_GB2312"/>
                <w:sz w:val="20"/>
              </w:rPr>
              <w:t>8.质量验收标准或规范</w:t>
            </w:r>
          </w:p>
          <w:p>
            <w:pPr>
              <w:pStyle w:val="null3"/>
              <w:ind w:firstLine="400"/>
              <w:jc w:val="both"/>
            </w:pPr>
            <w:r>
              <w:rPr>
                <w:rFonts w:ascii="仿宋_GB2312" w:hAnsi="仿宋_GB2312" w:cs="仿宋_GB2312" w:eastAsia="仿宋_GB2312"/>
                <w:sz w:val="20"/>
              </w:rPr>
              <w:t>8.1国家现行有关法律、法规、环保和技术指标。</w:t>
            </w:r>
          </w:p>
          <w:p>
            <w:pPr>
              <w:pStyle w:val="null3"/>
              <w:ind w:firstLine="400"/>
              <w:jc w:val="both"/>
            </w:pPr>
            <w:r>
              <w:rPr>
                <w:rFonts w:ascii="仿宋_GB2312" w:hAnsi="仿宋_GB2312" w:cs="仿宋_GB2312" w:eastAsia="仿宋_GB2312"/>
                <w:sz w:val="20"/>
              </w:rPr>
              <w:t>8.2本项目施工合同。</w:t>
            </w:r>
          </w:p>
          <w:p>
            <w:pPr>
              <w:pStyle w:val="null3"/>
              <w:ind w:firstLine="400"/>
              <w:jc w:val="both"/>
            </w:pPr>
            <w:r>
              <w:rPr>
                <w:rFonts w:ascii="仿宋_GB2312" w:hAnsi="仿宋_GB2312" w:cs="仿宋_GB2312" w:eastAsia="仿宋_GB2312"/>
                <w:sz w:val="20"/>
              </w:rPr>
              <w:t>8.3经批准的设计文件及工程变更文件。</w:t>
            </w:r>
          </w:p>
          <w:p>
            <w:pPr>
              <w:pStyle w:val="null3"/>
              <w:ind w:firstLine="400"/>
              <w:jc w:val="both"/>
            </w:pPr>
            <w:r>
              <w:rPr>
                <w:rFonts w:ascii="仿宋_GB2312" w:hAnsi="仿宋_GB2312" w:cs="仿宋_GB2312" w:eastAsia="仿宋_GB2312"/>
                <w:sz w:val="20"/>
              </w:rPr>
              <w:t>8.4有关部政府部门的规定。</w:t>
            </w:r>
          </w:p>
          <w:p>
            <w:pPr>
              <w:pStyle w:val="null3"/>
              <w:ind w:firstLine="400"/>
              <w:jc w:val="both"/>
            </w:pPr>
            <w:r>
              <w:rPr>
                <w:rFonts w:ascii="仿宋_GB2312" w:hAnsi="仿宋_GB2312" w:cs="仿宋_GB2312" w:eastAsia="仿宋_GB2312"/>
                <w:sz w:val="20"/>
              </w:rPr>
              <w:t>9.项目检验与验收</w:t>
            </w:r>
          </w:p>
          <w:p>
            <w:pPr>
              <w:pStyle w:val="null3"/>
              <w:ind w:firstLine="400"/>
              <w:jc w:val="both"/>
            </w:pPr>
            <w:r>
              <w:rPr>
                <w:rFonts w:ascii="仿宋_GB2312" w:hAnsi="仿宋_GB2312" w:cs="仿宋_GB2312" w:eastAsia="仿宋_GB2312"/>
                <w:sz w:val="20"/>
              </w:rPr>
              <w:t>9.1成交供应商向采购人提交项目实施过程中的所有资料。</w:t>
            </w:r>
          </w:p>
          <w:p>
            <w:pPr>
              <w:pStyle w:val="null3"/>
              <w:ind w:firstLine="400"/>
              <w:jc w:val="both"/>
            </w:pPr>
            <w:r>
              <w:rPr>
                <w:rFonts w:ascii="仿宋_GB2312" w:hAnsi="仿宋_GB2312" w:cs="仿宋_GB2312" w:eastAsia="仿宋_GB2312"/>
                <w:sz w:val="20"/>
              </w:rPr>
              <w:t>9.2验收须以合同、磋商文件及响应文件、澄清、及国家相应的标准、规范等为依据。</w:t>
            </w:r>
          </w:p>
          <w:p>
            <w:pPr>
              <w:pStyle w:val="null3"/>
              <w:ind w:firstLine="400"/>
              <w:jc w:val="both"/>
            </w:pPr>
            <w:r>
              <w:rPr>
                <w:rFonts w:ascii="仿宋_GB2312" w:hAnsi="仿宋_GB2312" w:cs="仿宋_GB2312" w:eastAsia="仿宋_GB2312"/>
                <w:sz w:val="20"/>
              </w:rPr>
              <w:t>10.合同的变更、中止、终止</w:t>
            </w:r>
          </w:p>
          <w:p>
            <w:pPr>
              <w:pStyle w:val="null3"/>
              <w:ind w:firstLine="400"/>
              <w:jc w:val="both"/>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ind w:firstLine="400"/>
              <w:jc w:val="both"/>
            </w:pPr>
            <w:r>
              <w:rPr>
                <w:rFonts w:ascii="仿宋_GB2312" w:hAnsi="仿宋_GB2312" w:cs="仿宋_GB2312" w:eastAsia="仿宋_GB2312"/>
                <w:sz w:val="20"/>
              </w:rPr>
              <w:t>11.合同争议的处理</w:t>
            </w:r>
          </w:p>
          <w:p>
            <w:pPr>
              <w:pStyle w:val="null3"/>
              <w:ind w:firstLine="400"/>
              <w:jc w:val="both"/>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ind w:firstLine="400"/>
              <w:jc w:val="both"/>
            </w:pPr>
            <w:r>
              <w:rPr>
                <w:rFonts w:ascii="仿宋_GB2312" w:hAnsi="仿宋_GB2312" w:cs="仿宋_GB2312" w:eastAsia="仿宋_GB2312"/>
                <w:sz w:val="20"/>
              </w:rPr>
              <w:t>12.违约责任</w:t>
            </w:r>
          </w:p>
          <w:p>
            <w:pPr>
              <w:pStyle w:val="null3"/>
              <w:ind w:firstLine="400"/>
              <w:jc w:val="both"/>
            </w:pPr>
            <w:r>
              <w:rPr>
                <w:rFonts w:ascii="仿宋_GB2312" w:hAnsi="仿宋_GB2312" w:cs="仿宋_GB2312" w:eastAsia="仿宋_GB2312"/>
                <w:sz w:val="20"/>
              </w:rPr>
              <w:t>12.1按《中华人民共和国政府采购法》《中华人民共和国民法典》中的相关条款执行。</w:t>
            </w:r>
          </w:p>
          <w:p>
            <w:pPr>
              <w:pStyle w:val="null3"/>
            </w:pPr>
            <w:r>
              <w:rPr>
                <w:rFonts w:ascii="仿宋_GB2312" w:hAnsi="仿宋_GB2312" w:cs="仿宋_GB2312" w:eastAsia="仿宋_GB2312"/>
                <w:sz w:val="20"/>
              </w:rPr>
              <w:t xml:space="preserve">    12.2未按要求提供货物、质量、环保标准不能满足技术要求的，施工方必须无条件更换，否则，采购单位有权终止合同，并对施工方的违约行为报监管机构进行相应的处罚。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5个工作日内向代理机构提交纸质版响应文件以便于存档，响应文件正本1份，副本2份（可以使用签章文件直接打印），电子版文件2份（以U盘为载体，PDF格式），纸质响应文件均须A4纸打印，分别各自装订成册。线下递交响应文件地点：同正项目管理有限公司（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供应商须具备公路工程施工总承包三级及以上资质或路基路面养护乙级及以上资质，并具有有效的安全生产许可证；（材料应清晰可辨并进行电子签章）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拟派项目经理须具有公路工程专业二级及以上注册建造师资格和有效的安全考核合格证书（B证），且无在岗工程(出具无在岗承诺书）；（材料应清晰可辨并进行电子签章）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拟投入本工程的主要施工设备表.docx 中小企业声明函 商务要求应答表.docx 响应文件封面 供应商应提交的相关资格证明材料.docx 残疾人福利性单位声明函 报价函 强制、优先采购产品承诺函.docx 标的清单 供应商类似项目业绩一览表 项目组织机构人员表.docx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拟投入本工程的主要施工设备表.docx 中小企业声明函 商务要求应答表.docx 响应文件封面 供应商应提交的相关资格证明材料.docx 残疾人福利性单位声明函 总实施方案.docx 报价函 强制、优先采购产品承诺函.docx 标的清单 供应商类似项目业绩一览表 项目经理简历表.docx 项目组织机构人员表.docx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磋商响应文件内容齐全、无遗漏、不能有任何采购人不能接受的附加条件</w:t>
            </w:r>
          </w:p>
        </w:tc>
        <w:tc>
          <w:tcPr>
            <w:tcW w:type="dxa" w:w="1661"/>
          </w:tcPr>
          <w:p>
            <w:pPr>
              <w:pStyle w:val="null3"/>
            </w:pPr>
            <w:r>
              <w:rPr>
                <w:rFonts w:ascii="仿宋_GB2312" w:hAnsi="仿宋_GB2312" w:cs="仿宋_GB2312" w:eastAsia="仿宋_GB2312"/>
              </w:rPr>
              <w:t>已标价工程量清单 拟投入本工程的主要施工设备表.docx 中小企业声明函 商务要求应答表.docx 响应文件封面 供应商应提交的相关资格证明材料.docx 残疾人福利性单位声明函 总实施方案.docx 报价函 强制、优先采购产品承诺函.docx 标的清单 供应商类似项目业绩一览表 项目经理简历表.docx 项目组织机构人员表.docx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工期、质量要求、缺陷责任期、质量保修期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报价函 商务要求应答表.docx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2.针对性：上述各项内容针对性明确，每项内容得2分；针对性较明确，每项内容得1.5分；缺乏针对性，每项内容得0分。此项不提供不得分。 3.可实施性：上述各项内容可实施性合理，每项内容得2分；可实施性较合理，每项内容得1.5分；缺乏可实施性，每项内容得0分。此项不提供不得分。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2.针对性：上述各项内容针对性明确，每项内容得2分；针对性较明确，每项内容得1.5分；缺乏针对性，每项内容得0分。此项不提供不得分。 3.可实施性：上述各项内容可实施性合理，每项内容得2分；可实施性较合理，每项内容得1.5分；缺乏可实施性，每项内容得0分。此项不提供不得分。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1.完整性：对上述各项内容均有描述，得2分；每缺1项扣1分，扣完为止。此项不提供不得分。 2.针对性：上述各项内容针对性明确，每项内容得1分；针对性较明确，每项内容得0.6分；缺乏针对性，每项内容得0分。此项不提供不得分。 3.可实施性：上述各项内容可实施性合理，每项内容得1分；可实施性较合理，每项内容得0.6分；缺乏可实施性，每项内容得0分。此项不提供不得分。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2.针对性：上述各项内容针对性明确，每项内容得1分；针对性较明确，每项内容得0.6分；缺乏针对性，每项内容得0分。此项不提供不得分。 3.可实施性：上述各项内容可实施性合理，每项内容得1分；可实施性较合理，每项内容得0.6分；缺乏可实施性，每项内容得0分。此项不提供不得分。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 二、赋分标准： 1.完整性：对上述各项内容均有描述，得2分；每缺1项扣1分，扣完为止。此项不提供不得分。 2.针对性：上述各项内容针对性明确，每项内容得1分；针对性较明确，每项内容得0.6分；缺乏针对性，每项内容得0分。此项不提供不得分。 3.可实施性：上述各项内容可实施性合理，每项内容得1分；可实施性较合理，每项内容得0.6分；缺乏可实施性，每项内容得0分。此项不提供不得分。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2.针对性：上述内容针对性明确得1分；针对性较明确得0.6分；缺乏针对性得0分。此项不提供不得分。 3.可实施性：上述内容可实施性合理得1分；可实施性较合理得0.6分；缺乏可实施性，每项内容得0分。此项不提供不得分。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p>
            <w:pPr>
              <w:pStyle w:val="null3"/>
            </w:pPr>
            <w:r>
              <w:rPr>
                <w:rFonts w:ascii="仿宋_GB2312" w:hAnsi="仿宋_GB2312" w:cs="仿宋_GB2312" w:eastAsia="仿宋_GB2312"/>
              </w:rPr>
              <w:t>拟投入本工程的主要施工设备表.docx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2.针对性：上述内容针对性明确得1分；针对性较明确得0.6分；缺乏针对性得0分。此项不提供不得分。 3.可实施性：上述内容可实施性合理得1分；可实施性较合理得0.6分；缺乏可实施性得0分。此项不提供不得分。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一、评审内容：供应商提供2023年6月至今完成的类似项目业绩。 二、赋分标准：每提供一个合格业绩得2分，满分4分。未提供此项内容不得分。 注：业绩以中标（成交）通知书和合同（协议书)及交竣工验收证书（或完工证明）为准，响应文件内附复印件并进行签章。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一、评审内容：供应商针对本项目特点提供切实可行的施工安全承诺、文明施工承诺、施工质量保证承诺、工期保证承诺、施工环境承诺等，保证按时按质按量完成本项目。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一、评审内容：项目经理具备公路工程相关专业职称证。 二、赋分标准：高级职称得2分，中级职称得1分，其他不得分。响应文件内附职称证复印件并进行签章。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p>
            <w:pPr>
              <w:pStyle w:val="null3"/>
            </w:pPr>
            <w:r>
              <w:rPr>
                <w:rFonts w:ascii="仿宋_GB2312" w:hAnsi="仿宋_GB2312" w:cs="仿宋_GB2312" w:eastAsia="仿宋_GB2312"/>
              </w:rPr>
              <w:t>项目组织机构人员表.docx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一、评审内容：所配备项目总工、施工员、质检员、安全员、材料员，具备相关专业技术职称或岗位证书。 二、赋分标准：全部满足得 5 分，每缺少一人或相应人员无证书证件扣 1 分，扣完为止。响应文件内附相应人员证书证件复印件并进行签章。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项目组织机构人员表.docx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3.供应商报价得分=（评审基准价/最后报价）×30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详见附件：拟投入本工程的主要施工设备表.docx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详见附件：项目组织机构人员表.docx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