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版本号：GLD2026-011201Z.2B120260407001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新生儿转运系统及吊塔(二次)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GLD2026-011201Z.2B1</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新生儿转运系统及吊塔(二次)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GLD2026-011201Z.2B1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新生儿转运系统及吊塔(二次)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新生儿转运系统及吊塔</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3、特殊资质：投标产品属于医疗器械管理的须提供所投产品的《医疗器械产品注册证》；且授权范围需包含本次采购项目内容。 ②投标人为生产厂家的须提供《医疗器械生产许可证》，投标人为代理商的须提供《医疗器械经营许可证》或《医疗器械经营备案证》</w:t>
      </w:r>
    </w:p>
    <w:p>
      <w:pPr>
        <w:pStyle w:val="null3"/>
      </w:pPr>
      <w:r>
        <w:rPr>
          <w:rFonts w:ascii="仿宋_GB2312" w:hAnsi="仿宋_GB2312" w:cs="仿宋_GB2312" w:eastAsia="仿宋_GB2312"/>
        </w:rPr>
        <w:t>4、承诺函：具有良好的商业信誉和健全的财务会计制度,具有履行合同所必需的设备和专业技术能力，具有依法缴纳税收和社会保障金的良好记录，参加本项目采购活动前三年内无重大违法活动记录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西安经济技术开发区明光路 55 号天朗经开中心 25 层2504室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17792615459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》（发改价格[2011]534号）文件的规定向陕西广联达招标有限公司交纳招标服务费。名称：陕西广联达招标有限公司，开户行：中国银行股份有限公司西安万寿路支行， 账号：1028 4964 6773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联系人：陈萌</w:t>
      </w:r>
    </w:p>
    <w:p>
      <w:pPr>
        <w:pStyle w:val="null3"/>
      </w:pPr>
      <w:r>
        <w:rPr>
          <w:rFonts w:ascii="仿宋_GB2312" w:hAnsi="仿宋_GB2312" w:cs="仿宋_GB2312" w:eastAsia="仿宋_GB2312"/>
        </w:rPr>
        <w:t>联系电话：17792615459</w:t>
      </w:r>
    </w:p>
    <w:p>
      <w:pPr>
        <w:pStyle w:val="null3"/>
      </w:pPr>
      <w:r>
        <w:rPr>
          <w:rFonts w:ascii="仿宋_GB2312" w:hAnsi="仿宋_GB2312" w:cs="仿宋_GB2312" w:eastAsia="仿宋_GB2312"/>
        </w:rPr>
        <w:t>地址：西安经济技术开发区明光路 55 号天朗经开中心25层2504室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新生儿转运系统及吊塔</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吊塔</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组</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标的名称：吊塔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本产品为核心产品</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4"/>
              </w:rPr>
              <w:t>1、桥架：长度</w:t>
            </w:r>
            <w:r>
              <w:rPr>
                <w:rFonts w:ascii="仿宋_GB2312" w:hAnsi="仿宋_GB2312" w:cs="仿宋_GB2312" w:eastAsia="仿宋_GB2312"/>
                <w:sz w:val="24"/>
              </w:rPr>
              <w:t>2000—2200mm</w:t>
            </w:r>
          </w:p>
          <w:p>
            <w:pPr>
              <w:pStyle w:val="null3"/>
            </w:pPr>
            <w:r>
              <w:rPr>
                <w:rFonts w:ascii="仿宋_GB2312" w:hAnsi="仿宋_GB2312" w:cs="仿宋_GB2312" w:eastAsia="仿宋_GB2312"/>
                <w:sz w:val="24"/>
              </w:rPr>
              <w:t>2、▲接地端子*2 个</w:t>
            </w:r>
            <w:r>
              <w:rPr>
                <w:rFonts w:ascii="仿宋_GB2312" w:hAnsi="仿宋_GB2312" w:cs="仿宋_GB2312" w:eastAsia="仿宋_GB2312"/>
                <w:sz w:val="24"/>
              </w:rPr>
              <w:t>，</w:t>
            </w:r>
            <w:r>
              <w:rPr>
                <w:rFonts w:ascii="仿宋_GB2312" w:hAnsi="仿宋_GB2312" w:cs="仿宋_GB2312" w:eastAsia="仿宋_GB2312"/>
                <w:sz w:val="24"/>
              </w:rPr>
              <w:t>氧气终端</w:t>
            </w:r>
            <w:r>
              <w:rPr>
                <w:rFonts w:ascii="仿宋_GB2312" w:hAnsi="仿宋_GB2312" w:cs="仿宋_GB2312" w:eastAsia="仿宋_GB2312"/>
                <w:sz w:val="24"/>
              </w:rPr>
              <w:t>*2个、负压吸引终端*2个，压缩空气端*2个</w:t>
            </w:r>
            <w:r>
              <w:rPr>
                <w:rFonts w:ascii="仿宋_GB2312" w:hAnsi="仿宋_GB2312" w:cs="仿宋_GB2312" w:eastAsia="仿宋_GB2312"/>
                <w:sz w:val="24"/>
              </w:rPr>
              <w:t>，</w:t>
            </w:r>
            <w:r>
              <w:rPr>
                <w:rFonts w:ascii="仿宋_GB2312" w:hAnsi="仿宋_GB2312" w:cs="仿宋_GB2312" w:eastAsia="仿宋_GB2312"/>
                <w:sz w:val="24"/>
              </w:rPr>
              <w:t>网络接口</w:t>
            </w:r>
            <w:r>
              <w:rPr>
                <w:rFonts w:ascii="仿宋_GB2312" w:hAnsi="仿宋_GB2312" w:cs="仿宋_GB2312" w:eastAsia="仿宋_GB2312"/>
                <w:sz w:val="24"/>
              </w:rPr>
              <w:t>*2个</w:t>
            </w:r>
            <w:r>
              <w:rPr>
                <w:rFonts w:ascii="仿宋_GB2312" w:hAnsi="仿宋_GB2312" w:cs="仿宋_GB2312" w:eastAsia="仿宋_GB2312"/>
                <w:sz w:val="24"/>
              </w:rPr>
              <w:t>。</w:t>
            </w:r>
          </w:p>
          <w:p>
            <w:pPr>
              <w:pStyle w:val="null3"/>
            </w:pPr>
            <w:r>
              <w:rPr>
                <w:rFonts w:ascii="仿宋_GB2312" w:hAnsi="仿宋_GB2312" w:cs="仿宋_GB2312" w:eastAsia="仿宋_GB2312"/>
                <w:sz w:val="24"/>
              </w:rPr>
              <w:t>3、吊塔主体：吊塔的箱体采用</w:t>
            </w:r>
            <w:r>
              <w:rPr>
                <w:rFonts w:ascii="仿宋_GB2312" w:hAnsi="仿宋_GB2312" w:cs="仿宋_GB2312" w:eastAsia="仿宋_GB2312"/>
                <w:sz w:val="24"/>
              </w:rPr>
              <w:t>6005 铝合金型材，加工级别达到 T6，抗拉强度（Rm) ≥260MPa。(</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4、吊塔采用密封性设计，吊塔表面采用高压静电喷涂环保粉末材料工艺</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5、吊塔表面采用优质环保抗菌塑粉并加入抑菌银粉成分，其具有表面抑制细菌再生作用，对大肠杆菌及金黄色葡萄球菌抗菌率</w:t>
            </w:r>
            <w:r>
              <w:rPr>
                <w:rFonts w:ascii="仿宋_GB2312" w:hAnsi="仿宋_GB2312" w:cs="仿宋_GB2312" w:eastAsia="仿宋_GB2312"/>
                <w:sz w:val="24"/>
              </w:rPr>
              <w:t>≥99.99%。（</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6、吊塔外壳防火等级</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UL94-V0 级。(</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7、箱体基座</w:t>
            </w:r>
            <w:r>
              <w:rPr>
                <w:rFonts w:ascii="仿宋_GB2312" w:hAnsi="仿宋_GB2312" w:cs="仿宋_GB2312" w:eastAsia="仿宋_GB2312"/>
                <w:sz w:val="24"/>
              </w:rPr>
              <w:t>*1 组：长度≥1000mm</w:t>
            </w:r>
            <w:r>
              <w:rPr>
                <w:rFonts w:ascii="仿宋_GB2312" w:hAnsi="仿宋_GB2312" w:cs="仿宋_GB2312" w:eastAsia="仿宋_GB2312"/>
                <w:sz w:val="21"/>
              </w:rPr>
              <w:t xml:space="preserve"> </w:t>
            </w:r>
            <w:r>
              <w:rPr>
                <w:rFonts w:ascii="仿宋_GB2312" w:hAnsi="仿宋_GB2312" w:cs="仿宋_GB2312" w:eastAsia="仿宋_GB2312"/>
                <w:sz w:val="24"/>
              </w:rPr>
              <w:t>，可旋转角度：</w:t>
            </w:r>
            <w:r>
              <w:rPr>
                <w:rFonts w:ascii="仿宋_GB2312" w:hAnsi="仿宋_GB2312" w:cs="仿宋_GB2312" w:eastAsia="仿宋_GB2312"/>
                <w:sz w:val="24"/>
              </w:rPr>
              <w:t>0-350度</w:t>
            </w:r>
            <w:r>
              <w:rPr>
                <w:rFonts w:ascii="仿宋_GB2312" w:hAnsi="仿宋_GB2312" w:cs="仿宋_GB2312" w:eastAsia="仿宋_GB2312"/>
                <w:sz w:val="24"/>
              </w:rPr>
              <w:t>，</w:t>
            </w:r>
            <w:r>
              <w:rPr>
                <w:rFonts w:ascii="仿宋_GB2312" w:hAnsi="仿宋_GB2312" w:cs="仿宋_GB2312" w:eastAsia="仿宋_GB2312"/>
                <w:sz w:val="24"/>
              </w:rPr>
              <w:t>可滑动</w:t>
            </w:r>
            <w:r>
              <w:rPr>
                <w:rFonts w:ascii="仿宋_GB2312" w:hAnsi="仿宋_GB2312" w:cs="仿宋_GB2312" w:eastAsia="仿宋_GB2312"/>
                <w:sz w:val="24"/>
              </w:rPr>
              <w:t>≥800mm</w:t>
            </w:r>
            <w:r>
              <w:rPr>
                <w:rFonts w:ascii="仿宋_GB2312" w:hAnsi="仿宋_GB2312" w:cs="仿宋_GB2312" w:eastAsia="仿宋_GB2312"/>
                <w:sz w:val="24"/>
              </w:rPr>
              <w:t>。</w:t>
            </w:r>
          </w:p>
          <w:p>
            <w:pPr>
              <w:pStyle w:val="null3"/>
            </w:pPr>
            <w:r>
              <w:rPr>
                <w:rFonts w:ascii="仿宋_GB2312" w:hAnsi="仿宋_GB2312" w:cs="仿宋_GB2312" w:eastAsia="仿宋_GB2312"/>
                <w:sz w:val="24"/>
              </w:rPr>
              <w:t>8、吊桥箱体平移范围</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4"/>
              </w:rPr>
              <w:t>800mm</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9、▲主桥总负载能力：≥</w:t>
            </w:r>
            <w:r>
              <w:rPr>
                <w:rFonts w:ascii="仿宋_GB2312" w:hAnsi="仿宋_GB2312" w:cs="仿宋_GB2312" w:eastAsia="仿宋_GB2312"/>
                <w:sz w:val="21"/>
              </w:rPr>
              <w:t xml:space="preserve"> </w:t>
            </w:r>
            <w:r>
              <w:rPr>
                <w:rFonts w:ascii="仿宋_GB2312" w:hAnsi="仿宋_GB2312" w:cs="仿宋_GB2312" w:eastAsia="仿宋_GB2312"/>
                <w:sz w:val="24"/>
              </w:rPr>
              <w:t>350kg</w:t>
            </w:r>
            <w:r>
              <w:rPr>
                <w:rFonts w:ascii="仿宋_GB2312" w:hAnsi="仿宋_GB2312" w:cs="仿宋_GB2312" w:eastAsia="仿宋_GB2312"/>
                <w:sz w:val="21"/>
              </w:rPr>
              <w:t xml:space="preserve"> </w:t>
            </w:r>
            <w:r>
              <w:rPr>
                <w:rFonts w:ascii="仿宋_GB2312" w:hAnsi="仿宋_GB2312" w:cs="仿宋_GB2312" w:eastAsia="仿宋_GB2312"/>
                <w:sz w:val="24"/>
              </w:rPr>
              <w:t>；</w:t>
            </w:r>
          </w:p>
          <w:p>
            <w:pPr>
              <w:pStyle w:val="null3"/>
            </w:pPr>
            <w:r>
              <w:rPr>
                <w:rFonts w:ascii="仿宋_GB2312" w:hAnsi="仿宋_GB2312" w:cs="仿宋_GB2312" w:eastAsia="仿宋_GB2312"/>
                <w:sz w:val="24"/>
              </w:rPr>
              <w:t>10、吊塔箱体旋转机构：耐受静载荷</w:t>
            </w:r>
            <w:r>
              <w:rPr>
                <w:rFonts w:ascii="仿宋_GB2312" w:hAnsi="仿宋_GB2312" w:cs="仿宋_GB2312" w:eastAsia="仿宋_GB2312"/>
                <w:sz w:val="24"/>
              </w:rPr>
              <w:t xml:space="preserve">≥ 35KN </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11、气体终端配套的气体插头</w:t>
            </w:r>
            <w:r>
              <w:rPr>
                <w:rFonts w:ascii="仿宋_GB2312" w:hAnsi="仿宋_GB2312" w:cs="仿宋_GB2312" w:eastAsia="仿宋_GB2312"/>
                <w:sz w:val="24"/>
              </w:rPr>
              <w:t>为</w:t>
            </w:r>
            <w:r>
              <w:rPr>
                <w:rFonts w:ascii="仿宋_GB2312" w:hAnsi="仿宋_GB2312" w:cs="仿宋_GB2312" w:eastAsia="仿宋_GB2312"/>
                <w:sz w:val="24"/>
              </w:rPr>
              <w:t>德标气体终端</w:t>
            </w:r>
            <w:r>
              <w:rPr>
                <w:rFonts w:ascii="仿宋_GB2312" w:hAnsi="仿宋_GB2312" w:cs="仿宋_GB2312" w:eastAsia="仿宋_GB2312"/>
                <w:sz w:val="24"/>
              </w:rPr>
              <w:t>，</w:t>
            </w:r>
            <w:r>
              <w:rPr>
                <w:rFonts w:ascii="仿宋_GB2312" w:hAnsi="仿宋_GB2312" w:cs="仿宋_GB2312" w:eastAsia="仿宋_GB2312"/>
                <w:sz w:val="24"/>
              </w:rPr>
              <w:t>各种气体终端采用全铜材质，非工程塑料材质。</w:t>
            </w:r>
            <w:r>
              <w:rPr>
                <w:rFonts w:ascii="仿宋_GB2312" w:hAnsi="仿宋_GB2312" w:cs="仿宋_GB2312" w:eastAsia="仿宋_GB2312"/>
                <w:sz w:val="24"/>
              </w:rPr>
              <w:t>插拔次数</w:t>
            </w:r>
            <w:r>
              <w:rPr>
                <w:rFonts w:ascii="仿宋_GB2312" w:hAnsi="仿宋_GB2312" w:cs="仿宋_GB2312" w:eastAsia="仿宋_GB2312"/>
                <w:sz w:val="24"/>
              </w:rPr>
              <w:t>≥</w:t>
            </w:r>
            <w:r>
              <w:rPr>
                <w:rFonts w:ascii="仿宋_GB2312" w:hAnsi="仿宋_GB2312" w:cs="仿宋_GB2312" w:eastAsia="仿宋_GB2312"/>
                <w:sz w:val="24"/>
              </w:rPr>
              <w:t>80000次，通、断、拔三种状态能带气维修。(</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12、对地漏电流</w:t>
            </w:r>
            <w:r>
              <w:rPr>
                <w:rFonts w:ascii="仿宋_GB2312" w:hAnsi="仿宋_GB2312" w:cs="仿宋_GB2312" w:eastAsia="仿宋_GB2312"/>
                <w:sz w:val="24"/>
              </w:rPr>
              <w:t>:正常状态下，对地漏电流≤5mA；单一故障下，对地漏电流≤1</w:t>
            </w:r>
            <w:r>
              <w:rPr>
                <w:rFonts w:ascii="仿宋_GB2312" w:hAnsi="仿宋_GB2312" w:cs="仿宋_GB2312" w:eastAsia="仿宋_GB2312"/>
                <w:sz w:val="24"/>
              </w:rPr>
              <w:t>.</w:t>
            </w:r>
            <w:r>
              <w:rPr>
                <w:rFonts w:ascii="仿宋_GB2312" w:hAnsi="仿宋_GB2312" w:cs="仿宋_GB2312" w:eastAsia="仿宋_GB2312"/>
                <w:sz w:val="24"/>
              </w:rPr>
              <w:t>0mA(</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13、▲</w:t>
            </w:r>
            <w:r>
              <w:rPr>
                <w:rFonts w:ascii="仿宋_GB2312" w:hAnsi="仿宋_GB2312" w:cs="仿宋_GB2312" w:eastAsia="仿宋_GB2312"/>
                <w:sz w:val="24"/>
              </w:rPr>
              <w:t>箱体为双腔结构，双侧为独立气体和电气箱体，中间为中空设计</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14、▲</w:t>
            </w:r>
            <w:r>
              <w:rPr>
                <w:rFonts w:ascii="仿宋_GB2312" w:hAnsi="仿宋_GB2312" w:cs="仿宋_GB2312" w:eastAsia="仿宋_GB2312"/>
                <w:sz w:val="24"/>
              </w:rPr>
              <w:t>吊塔悬臂在设计载荷下，悬臂倾斜角度</w:t>
            </w:r>
            <w:r>
              <w:rPr>
                <w:rFonts w:ascii="仿宋_GB2312" w:hAnsi="仿宋_GB2312" w:cs="仿宋_GB2312" w:eastAsia="仿宋_GB2312"/>
                <w:sz w:val="24"/>
              </w:rPr>
              <w:t>≤2°(</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15、箱体悬臂在设计载荷下，悬臂倾斜角度</w:t>
            </w:r>
            <w:r>
              <w:rPr>
                <w:rFonts w:ascii="仿宋_GB2312" w:hAnsi="仿宋_GB2312" w:cs="仿宋_GB2312" w:eastAsia="仿宋_GB2312"/>
                <w:sz w:val="24"/>
              </w:rPr>
              <w:t>≤2°(</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16、电源插座：配备电源插座</w:t>
            </w:r>
            <w:r>
              <w:rPr>
                <w:rFonts w:ascii="仿宋_GB2312" w:hAnsi="仿宋_GB2312" w:cs="仿宋_GB2312" w:eastAsia="仿宋_GB2312"/>
                <w:sz w:val="24"/>
              </w:rPr>
              <w:t>≥12。</w:t>
            </w:r>
          </w:p>
          <w:p>
            <w:pPr>
              <w:pStyle w:val="null3"/>
            </w:pPr>
            <w:r>
              <w:rPr>
                <w:rFonts w:ascii="仿宋_GB2312" w:hAnsi="仿宋_GB2312" w:cs="仿宋_GB2312" w:eastAsia="仿宋_GB2312"/>
                <w:sz w:val="24"/>
              </w:rPr>
              <w:t>17、照明：配照明灯</w:t>
            </w:r>
            <w:r>
              <w:rPr>
                <w:rFonts w:ascii="仿宋_GB2312" w:hAnsi="仿宋_GB2312" w:cs="仿宋_GB2312" w:eastAsia="仿宋_GB2312"/>
                <w:sz w:val="24"/>
              </w:rPr>
              <w:t>3个，</w:t>
            </w:r>
            <w:r>
              <w:rPr>
                <w:rFonts w:ascii="仿宋_GB2312" w:hAnsi="仿宋_GB2312" w:cs="仿宋_GB2312" w:eastAsia="仿宋_GB2312"/>
                <w:sz w:val="24"/>
              </w:rPr>
              <w:t>开关</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rPr>
              <w:t xml:space="preserve"> </w:t>
            </w:r>
            <w:r>
              <w:rPr>
                <w:rFonts w:ascii="仿宋_GB2312" w:hAnsi="仿宋_GB2312" w:cs="仿宋_GB2312" w:eastAsia="仿宋_GB2312"/>
                <w:sz w:val="24"/>
              </w:rPr>
              <w:t>LED 小夜灯*1 个，与主桥一体化</w:t>
            </w:r>
            <w:r>
              <w:rPr>
                <w:rFonts w:ascii="仿宋_GB2312" w:hAnsi="仿宋_GB2312" w:cs="仿宋_GB2312" w:eastAsia="仿宋_GB2312"/>
                <w:sz w:val="24"/>
              </w:rPr>
              <w:t>。</w:t>
            </w:r>
          </w:p>
          <w:p>
            <w:pPr>
              <w:pStyle w:val="null3"/>
            </w:pPr>
            <w:r>
              <w:rPr>
                <w:rFonts w:ascii="仿宋_GB2312" w:hAnsi="仿宋_GB2312" w:cs="仿宋_GB2312" w:eastAsia="仿宋_GB2312"/>
                <w:sz w:val="24"/>
              </w:rPr>
              <w:t>18、刹车装置：横向手动运行距离</w:t>
            </w:r>
            <w:r>
              <w:rPr>
                <w:rFonts w:ascii="仿宋_GB2312" w:hAnsi="仿宋_GB2312" w:cs="仿宋_GB2312" w:eastAsia="仿宋_GB2312"/>
                <w:sz w:val="24"/>
              </w:rPr>
              <w:t>±500mm，有机械刹车制动装置和阻尼装置，可以调节松紧。</w:t>
            </w:r>
          </w:p>
          <w:p>
            <w:pPr>
              <w:pStyle w:val="null3"/>
            </w:pPr>
            <w:r>
              <w:rPr>
                <w:rFonts w:ascii="仿宋_GB2312" w:hAnsi="仿宋_GB2312" w:cs="仿宋_GB2312" w:eastAsia="仿宋_GB2312"/>
                <w:sz w:val="24"/>
              </w:rPr>
              <w:t>19、置物平台</w:t>
            </w:r>
            <w:r>
              <w:rPr>
                <w:rFonts w:ascii="仿宋_GB2312" w:hAnsi="仿宋_GB2312" w:cs="仿宋_GB2312" w:eastAsia="仿宋_GB2312"/>
                <w:sz w:val="24"/>
              </w:rPr>
              <w:t>，</w:t>
            </w:r>
            <w:r>
              <w:rPr>
                <w:rFonts w:ascii="仿宋_GB2312" w:hAnsi="仿宋_GB2312" w:cs="仿宋_GB2312" w:eastAsia="仿宋_GB2312"/>
                <w:sz w:val="24"/>
              </w:rPr>
              <w:t>规格</w:t>
            </w:r>
            <w:r>
              <w:rPr>
                <w:rFonts w:ascii="仿宋_GB2312" w:hAnsi="仿宋_GB2312" w:cs="仿宋_GB2312" w:eastAsia="仿宋_GB2312"/>
                <w:sz w:val="24"/>
              </w:rPr>
              <w:t>≥630*530mm</w:t>
            </w:r>
            <w:r>
              <w:rPr>
                <w:rFonts w:ascii="仿宋_GB2312" w:hAnsi="仿宋_GB2312" w:cs="仿宋_GB2312" w:eastAsia="仿宋_GB2312"/>
                <w:sz w:val="24"/>
              </w:rPr>
              <w:t>；</w:t>
            </w:r>
            <w:r>
              <w:rPr>
                <w:rFonts w:ascii="仿宋_GB2312" w:hAnsi="仿宋_GB2312" w:cs="仿宋_GB2312" w:eastAsia="仿宋_GB2312"/>
                <w:sz w:val="24"/>
              </w:rPr>
              <w:t>2个：</w:t>
            </w:r>
            <w:r>
              <w:rPr>
                <w:rFonts w:ascii="仿宋_GB2312" w:hAnsi="仿宋_GB2312" w:cs="仿宋_GB2312" w:eastAsia="仿宋_GB2312"/>
                <w:sz w:val="24"/>
              </w:rPr>
              <w:t>采用铝型材一体成型</w:t>
            </w:r>
            <w:r>
              <w:rPr>
                <w:rFonts w:ascii="仿宋_GB2312" w:hAnsi="仿宋_GB2312" w:cs="仿宋_GB2312" w:eastAsia="仿宋_GB2312"/>
                <w:sz w:val="24"/>
              </w:rPr>
              <w:t>，平台净载重量</w:t>
            </w:r>
            <w:r>
              <w:rPr>
                <w:rFonts w:ascii="仿宋_GB2312" w:hAnsi="仿宋_GB2312" w:cs="仿宋_GB2312" w:eastAsia="仿宋_GB2312"/>
                <w:sz w:val="24"/>
              </w:rPr>
              <w:t>≥</w:t>
            </w:r>
            <w:r>
              <w:rPr>
                <w:rFonts w:ascii="仿宋_GB2312" w:hAnsi="仿宋_GB2312" w:cs="仿宋_GB2312" w:eastAsia="仿宋_GB2312"/>
                <w:sz w:val="24"/>
              </w:rPr>
              <w:t>90Kg（</w:t>
            </w:r>
            <w:r>
              <w:rPr>
                <w:rFonts w:ascii="仿宋_GB2312" w:hAnsi="仿宋_GB2312" w:cs="仿宋_GB2312" w:eastAsia="仿宋_GB2312"/>
                <w:sz w:val="24"/>
              </w:rPr>
              <w:t>提供相关证明资料</w:t>
            </w:r>
            <w:r>
              <w:rPr>
                <w:rFonts w:ascii="仿宋_GB2312" w:hAnsi="仿宋_GB2312" w:cs="仿宋_GB2312" w:eastAsia="仿宋_GB2312"/>
                <w:sz w:val="24"/>
              </w:rPr>
              <w:t>）</w:t>
            </w:r>
            <w:r>
              <w:rPr>
                <w:rFonts w:ascii="仿宋_GB2312" w:hAnsi="仿宋_GB2312" w:cs="仿宋_GB2312" w:eastAsia="仿宋_GB2312"/>
                <w:sz w:val="24"/>
              </w:rPr>
              <w:t>平台边缘采用</w:t>
            </w:r>
            <w:r>
              <w:rPr>
                <w:rFonts w:ascii="仿宋_GB2312" w:hAnsi="仿宋_GB2312" w:cs="仿宋_GB2312" w:eastAsia="仿宋_GB2312"/>
                <w:sz w:val="24"/>
              </w:rPr>
              <w:t>凸起</w:t>
            </w:r>
            <w:r>
              <w:rPr>
                <w:rFonts w:ascii="仿宋_GB2312" w:hAnsi="仿宋_GB2312" w:cs="仿宋_GB2312" w:eastAsia="仿宋_GB2312"/>
                <w:sz w:val="24"/>
              </w:rPr>
              <w:t>设计</w:t>
            </w:r>
            <w:r>
              <w:rPr>
                <w:rFonts w:ascii="仿宋_GB2312" w:hAnsi="仿宋_GB2312" w:cs="仿宋_GB2312" w:eastAsia="仿宋_GB2312"/>
                <w:sz w:val="24"/>
              </w:rPr>
              <w:t>。</w:t>
            </w:r>
          </w:p>
          <w:p>
            <w:pPr>
              <w:pStyle w:val="null3"/>
            </w:pPr>
            <w:r>
              <w:rPr>
                <w:rFonts w:ascii="仿宋_GB2312" w:hAnsi="仿宋_GB2312" w:cs="仿宋_GB2312" w:eastAsia="仿宋_GB2312"/>
                <w:sz w:val="24"/>
              </w:rPr>
              <w:t>20、吸合</w:t>
            </w:r>
            <w:r>
              <w:rPr>
                <w:rFonts w:ascii="仿宋_GB2312" w:hAnsi="仿宋_GB2312" w:cs="仿宋_GB2312" w:eastAsia="仿宋_GB2312"/>
                <w:sz w:val="24"/>
              </w:rPr>
              <w:t>ABS一体成型抽屉*2个</w:t>
            </w:r>
            <w:r>
              <w:rPr>
                <w:rFonts w:ascii="仿宋_GB2312" w:hAnsi="仿宋_GB2312" w:cs="仿宋_GB2312" w:eastAsia="仿宋_GB2312"/>
                <w:sz w:val="24"/>
              </w:rPr>
              <w:t>:两层 ABS 一体成型抽屉，隐藏式自吸轨道，带可一键式可拆卸装置，承重≥</w:t>
            </w:r>
            <w:r>
              <w:rPr>
                <w:rFonts w:ascii="仿宋_GB2312" w:hAnsi="仿宋_GB2312" w:cs="仿宋_GB2312" w:eastAsia="仿宋_GB2312"/>
                <w:sz w:val="24"/>
              </w:rPr>
              <w:t>3</w:t>
            </w:r>
            <w:r>
              <w:rPr>
                <w:rFonts w:ascii="仿宋_GB2312" w:hAnsi="仿宋_GB2312" w:cs="仿宋_GB2312" w:eastAsia="仿宋_GB2312"/>
                <w:sz w:val="24"/>
              </w:rPr>
              <w:t>5</w:t>
            </w:r>
            <w:r>
              <w:rPr>
                <w:rFonts w:ascii="仿宋_GB2312" w:hAnsi="仿宋_GB2312" w:cs="仿宋_GB2312" w:eastAsia="仿宋_GB2312"/>
                <w:sz w:val="24"/>
              </w:rPr>
              <w:t>Kg</w:t>
            </w:r>
            <w:r>
              <w:rPr>
                <w:rFonts w:ascii="仿宋_GB2312" w:hAnsi="仿宋_GB2312" w:cs="仿宋_GB2312" w:eastAsia="仿宋_GB2312"/>
                <w:sz w:val="24"/>
              </w:rPr>
              <w:t>公斤。（</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21、气体管路为：医用气体管路应符合欧盟</w:t>
            </w:r>
            <w:r>
              <w:rPr>
                <w:rFonts w:ascii="仿宋_GB2312" w:hAnsi="仿宋_GB2312" w:cs="仿宋_GB2312" w:eastAsia="仿宋_GB2312"/>
                <w:sz w:val="24"/>
              </w:rPr>
              <w:t>EN ISO 7396-1 和 EN ISO7396-2 标准；气体终端应符合 ISO 9170-1 及 ISO 9170-2标准；（</w:t>
            </w:r>
            <w:r>
              <w:rPr>
                <w:rFonts w:ascii="仿宋_GB2312" w:hAnsi="仿宋_GB2312" w:cs="仿宋_GB2312" w:eastAsia="仿宋_GB2312"/>
                <w:sz w:val="24"/>
              </w:rPr>
              <w:t>提供相关证明资料</w:t>
            </w:r>
            <w:r>
              <w:rPr>
                <w:rFonts w:ascii="仿宋_GB2312" w:hAnsi="仿宋_GB2312" w:cs="仿宋_GB2312" w:eastAsia="仿宋_GB2312"/>
                <w:sz w:val="24"/>
              </w:rPr>
              <w:t>）</w:t>
            </w:r>
          </w:p>
          <w:p>
            <w:pPr>
              <w:pStyle w:val="null3"/>
            </w:pPr>
            <w:r>
              <w:rPr>
                <w:rFonts w:ascii="仿宋_GB2312" w:hAnsi="仿宋_GB2312" w:cs="仿宋_GB2312" w:eastAsia="仿宋_GB2312"/>
                <w:sz w:val="24"/>
              </w:rPr>
              <w:t>22、管路规格：压缩医用气体软管内径</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mm，真空软管≥</w:t>
            </w:r>
            <w:r>
              <w:rPr>
                <w:rFonts w:ascii="仿宋_GB2312" w:hAnsi="仿宋_GB2312" w:cs="仿宋_GB2312" w:eastAsia="仿宋_GB2312"/>
                <w:sz w:val="24"/>
              </w:rPr>
              <w:t>6</w:t>
            </w:r>
            <w:r>
              <w:rPr>
                <w:rFonts w:ascii="仿宋_GB2312" w:hAnsi="仿宋_GB2312" w:cs="仿宋_GB2312" w:eastAsia="仿宋_GB2312"/>
                <w:sz w:val="24"/>
              </w:rPr>
              <w:t>mm，气管层间粘合强度≥2.</w:t>
            </w:r>
            <w:r>
              <w:rPr>
                <w:rFonts w:ascii="仿宋_GB2312" w:hAnsi="仿宋_GB2312" w:cs="仿宋_GB2312" w:eastAsia="仿宋_GB2312"/>
                <w:sz w:val="24"/>
              </w:rPr>
              <w:t>0</w:t>
            </w:r>
            <w:r>
              <w:rPr>
                <w:rFonts w:ascii="仿宋_GB2312" w:hAnsi="仿宋_GB2312" w:cs="仿宋_GB2312" w:eastAsia="仿宋_GB2312"/>
                <w:sz w:val="24"/>
              </w:rPr>
              <w:t>KN/M</w:t>
            </w:r>
            <w:r>
              <w:rPr>
                <w:rFonts w:ascii="仿宋_GB2312" w:hAnsi="仿宋_GB2312" w:cs="仿宋_GB2312" w:eastAsia="仿宋_GB2312"/>
                <w:sz w:val="24"/>
              </w:rPr>
              <w:t>（</w:t>
            </w:r>
            <w:r>
              <w:rPr>
                <w:rFonts w:ascii="仿宋_GB2312" w:hAnsi="仿宋_GB2312" w:cs="仿宋_GB2312" w:eastAsia="仿宋_GB2312"/>
                <w:sz w:val="24"/>
              </w:rPr>
              <w:t>提供相关证明资料）</w:t>
            </w:r>
          </w:p>
          <w:p>
            <w:pPr>
              <w:pStyle w:val="null3"/>
            </w:pPr>
            <w:r>
              <w:rPr>
                <w:rFonts w:ascii="仿宋_GB2312" w:hAnsi="仿宋_GB2312" w:cs="仿宋_GB2312" w:eastAsia="仿宋_GB2312"/>
                <w:sz w:val="24"/>
              </w:rPr>
              <w:t>23、输液架</w:t>
            </w:r>
            <w:r>
              <w:rPr>
                <w:rFonts w:ascii="仿宋_GB2312" w:hAnsi="仿宋_GB2312" w:cs="仿宋_GB2312" w:eastAsia="仿宋_GB2312"/>
                <w:sz w:val="24"/>
              </w:rPr>
              <w:t>*1个：（可调高度，延展臂式）*1 套，输液架净载重量≥30Kg(提供检测报告)</w:t>
            </w:r>
          </w:p>
          <w:p>
            <w:pPr>
              <w:pStyle w:val="null3"/>
            </w:pPr>
            <w:r>
              <w:rPr>
                <w:rFonts w:ascii="仿宋_GB2312" w:hAnsi="仿宋_GB2312" w:cs="仿宋_GB2312" w:eastAsia="仿宋_GB2312"/>
                <w:sz w:val="24"/>
              </w:rPr>
              <w:t>24、食用级不锈钢材质医用网篮</w:t>
            </w:r>
            <w:r>
              <w:rPr>
                <w:rFonts w:ascii="仿宋_GB2312" w:hAnsi="仿宋_GB2312" w:cs="仿宋_GB2312" w:eastAsia="仿宋_GB2312"/>
                <w:sz w:val="24"/>
              </w:rPr>
              <w:t>1个</w:t>
            </w:r>
            <w:r>
              <w:rPr>
                <w:rFonts w:ascii="仿宋_GB2312" w:hAnsi="仿宋_GB2312" w:cs="仿宋_GB2312" w:eastAsia="仿宋_GB2312"/>
                <w:sz w:val="24"/>
              </w:rPr>
              <w:t>。</w:t>
            </w:r>
          </w:p>
          <w:p>
            <w:pPr>
              <w:pStyle w:val="null3"/>
            </w:pPr>
            <w:r>
              <w:rPr>
                <w:rFonts w:ascii="仿宋_GB2312" w:hAnsi="仿宋_GB2312" w:cs="仿宋_GB2312" w:eastAsia="仿宋_GB2312"/>
                <w:sz w:val="24"/>
              </w:rPr>
              <w:t>25、所有气电端口必须安装于气电箱上。</w:t>
            </w:r>
          </w:p>
          <w:p>
            <w:pPr>
              <w:pStyle w:val="null3"/>
            </w:pPr>
            <w:r>
              <w:rPr>
                <w:rFonts w:ascii="仿宋_GB2312" w:hAnsi="仿宋_GB2312" w:cs="仿宋_GB2312" w:eastAsia="仿宋_GB2312"/>
                <w:sz w:val="24"/>
              </w:rPr>
              <w:t>26、桥梁底部为整体式包裹型材。</w:t>
            </w:r>
          </w:p>
          <w:p>
            <w:pPr>
              <w:pStyle w:val="null3"/>
            </w:pPr>
            <w:r>
              <w:rPr>
                <w:rFonts w:ascii="仿宋_GB2312" w:hAnsi="仿宋_GB2312" w:cs="仿宋_GB2312" w:eastAsia="仿宋_GB2312"/>
                <w:sz w:val="24"/>
              </w:rPr>
              <w:t>27、每组吊桥设置氧气、空气总阀门，不打开任何部件情况下可随时关断气体。</w:t>
            </w:r>
          </w:p>
          <w:p>
            <w:pPr>
              <w:pStyle w:val="null3"/>
            </w:pPr>
            <w:r>
              <w:rPr>
                <w:rFonts w:ascii="仿宋_GB2312" w:hAnsi="仿宋_GB2312" w:cs="仿宋_GB2312" w:eastAsia="仿宋_GB2312"/>
                <w:sz w:val="24"/>
              </w:rPr>
              <w:t>28、每组吊桥电源设置独立带漏电功能断路器。</w:t>
            </w:r>
          </w:p>
          <w:p>
            <w:pPr>
              <w:pStyle w:val="null3"/>
            </w:pPr>
            <w:r>
              <w:rPr>
                <w:rFonts w:ascii="仿宋_GB2312" w:hAnsi="仿宋_GB2312" w:cs="仿宋_GB2312" w:eastAsia="仿宋_GB2312"/>
                <w:sz w:val="24"/>
              </w:rPr>
              <w:t>29、</w:t>
            </w:r>
            <w:r>
              <w:rPr>
                <w:rFonts w:ascii="仿宋_GB2312" w:hAnsi="仿宋_GB2312" w:cs="仿宋_GB2312" w:eastAsia="仿宋_GB2312"/>
                <w:sz w:val="24"/>
              </w:rPr>
              <w:t>移动静音线性轨道，噪音</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分贝</w:t>
            </w:r>
            <w:r>
              <w:rPr>
                <w:rFonts w:ascii="仿宋_GB2312" w:hAnsi="仿宋_GB2312" w:cs="仿宋_GB2312" w:eastAsia="仿宋_GB2312"/>
                <w:sz w:val="24"/>
              </w:rPr>
              <w:t>;(</w:t>
            </w:r>
            <w:r>
              <w:rPr>
                <w:rFonts w:ascii="仿宋_GB2312" w:hAnsi="仿宋_GB2312" w:cs="仿宋_GB2312" w:eastAsia="仿宋_GB2312"/>
                <w:sz w:val="24"/>
              </w:rPr>
              <w:t>提供相关证明资料</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汉中市中心医院指定地点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90.00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验收满一年后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吊塔采购数量为预估量，实际结算按采购方现场实际采购量据实结算。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投标函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投标产品属于医疗器械管理的须提供所投产品的《医疗器械产品注册证》；且授权范围需包含本次采购项目内容。 ②投标人为生产厂家的须提供《医疗器械生产许可证》，投标人为代理商的须提供《医疗器械经营许可证》或《医疗器械经营备案证》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只能有一个有效报价，不得提交选择性报价，且报价不超过采购预算金额或最高限价及单价最高限价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投标产品功能、技术参数和配置完全满足或优于采购文件要求的得满分30分，其中“▲”标注参数为重要技术参数。 二、评审依据 （带“▲”的技术参数一项负偏离扣3分，其他技术参数一项负偏离扣1分。扣完为止） 注：带“▲”的技术参数须提供佐证材料，并标注其在投标文件中的具体页码。（佐证材料包括但不限于：检测报告、功能说明书、功能截图、实物照片等内容，未按要求提供相关佐证材料按负偏离处理。）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设备供应方案</w:t>
            </w:r>
          </w:p>
        </w:tc>
        <w:tc>
          <w:tcPr>
            <w:tcW w:type="dxa" w:w="2492"/>
          </w:tcPr>
          <w:p>
            <w:pPr>
              <w:pStyle w:val="null3"/>
            </w:pPr>
            <w:r>
              <w:rPr>
                <w:rFonts w:ascii="仿宋_GB2312" w:hAnsi="仿宋_GB2312" w:cs="仿宋_GB2312" w:eastAsia="仿宋_GB2312"/>
              </w:rPr>
              <w:t>一、评审内容 供应商提供针对本项目的供应方案。包括但不限于 ①所投产品型号、功能、技术规格等详细信息描述； ②根据所投产品品牌与配置清单，设备配置先进、选型科学合理，从配置完整性、性能稳定性、兼容性、行业使用广泛性等方面描述（供应商提供证明材料，不限于所投设备产品临床使用优势、市场销售情况等）； ③确保设备供应渠道正常、检验手续合法有效、无产权纠纷（供应商提供证明材料，不限于授权函、销售协议、代理协议等）。 二、评审依据 各项内容全面详细、阐述条理清晰、技术先进、功能配置合理，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设备供应方案..docx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投标人需针对本项目提供完整的项目实施方案。包括但不限于：①详细的实施计划及进度安排； ②具有完善供货组织安排、详细的人员、财力调配、运输、配送措施； ③具有健全产品安装、检测、调试、试运行及验收方案. 二、评审依据 各项内容全面详细、阐述条理清晰，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 ① 质量保障承诺及措施； ② 配套专用耗材价格承诺。 二、评审依据 各项内容全面详细、阐述条理清晰，能有效保障本项目实施的得4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针对本项目提供详细的应急保障方案，包括但不限于： ①设备故障响应时限、维修服务到场响应时限； ②备品备件不足的紧急措施； ③应急突发状况处置措施。 二、评审依据 各项内容全面详细、阐述条理清晰，能有效保障本项目实施的得6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应急保障方案..docx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 ①针对本项目的售后服务方案及承诺； ②具有健全的售后服务机构、售后服务人员及应急处理人员； ③提供具体的培训方案、培训内容、培训方式等。 二、评审依据 各项内容全面详细、阐述条理清晰、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供应商提供2023年1月1日至今所完成的类似项目业绩的，每提供一项得1分，最高得3分。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详见附件：设备供应方案..docx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详见附件：应急保障方案..docx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