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版本号：JRZC-2026009.1B120260525001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手术麻醉临床信息管理系统采购项目(二次)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JRZC-2026009.1B1</w:t>
      </w:r>
      <w:r>
        <w:br/>
      </w:r>
      <w:r>
        <w:br/>
      </w:r>
      <w:r>
        <w:br/>
      </w:r>
    </w:p>
    <w:p>
      <w:pPr>
        <w:pStyle w:val="null3"/>
        <w:jc w:val="center"/>
        <w:outlineLvl w:val="2"/>
      </w:pPr>
      <w:r>
        <w:rPr>
          <w:rFonts w:ascii="仿宋_GB2312" w:hAnsi="仿宋_GB2312" w:cs="仿宋_GB2312" w:eastAsia="仿宋_GB2312"/>
          <w:sz w:val="28"/>
          <w:b/>
        </w:rPr>
        <w:t>延安大学附属医院</w:t>
      </w:r>
    </w:p>
    <w:p>
      <w:pPr>
        <w:pStyle w:val="null3"/>
        <w:jc w:val="center"/>
        <w:outlineLvl w:val="2"/>
      </w:pPr>
      <w:r>
        <w:rPr>
          <w:rFonts w:ascii="仿宋_GB2312" w:hAnsi="仿宋_GB2312" w:cs="仿宋_GB2312" w:eastAsia="仿宋_GB2312"/>
          <w:sz w:val="28"/>
          <w:b/>
        </w:rPr>
        <w:t>陕西炬荣招标代理有限公司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陕西炬荣招标代理有限公司</w:t>
      </w:r>
      <w:r>
        <w:rPr>
          <w:rFonts w:ascii="仿宋_GB2312" w:hAnsi="仿宋_GB2312" w:cs="仿宋_GB2312" w:eastAsia="仿宋_GB2312"/>
        </w:rPr>
        <w:t>（以下简称“代理机构”）受</w:t>
      </w:r>
      <w:r>
        <w:rPr>
          <w:rFonts w:ascii="仿宋_GB2312" w:hAnsi="仿宋_GB2312" w:cs="仿宋_GB2312" w:eastAsia="仿宋_GB2312"/>
        </w:rPr>
        <w:t>延安大学附属医院</w:t>
      </w:r>
      <w:r>
        <w:rPr>
          <w:rFonts w:ascii="仿宋_GB2312" w:hAnsi="仿宋_GB2312" w:cs="仿宋_GB2312" w:eastAsia="仿宋_GB2312"/>
        </w:rPr>
        <w:t>委托，拟对</w:t>
      </w:r>
      <w:r>
        <w:rPr>
          <w:rFonts w:ascii="仿宋_GB2312" w:hAnsi="仿宋_GB2312" w:cs="仿宋_GB2312" w:eastAsia="仿宋_GB2312"/>
        </w:rPr>
        <w:t>手术麻醉临床信息管理系统采购项目(二次)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JRZC-2026009.1B1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手术麻醉临床信息管理系统采购项目(二次)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随着国家《“十四五”全民健康信息化规划》《公立医院高质量发展评价指标》及《电子病历系统应用水平分级评价标准（试行）》等政策深入推进，智慧医院建设已成为公立医院改革核心任务。 本次申请更换医院手术麻醉软件系统，核心目标是围绕医院 “以患者为中心，以质量为核心” 的发展理念，解决现有系统在临床应用、科室管理、数据整合及安全保障等方面存在的短板，构建一套功能完善、高效便捷、安全可靠、符合行业规范与医院发展需求的现代化手术麻醉管理体系。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采购包1（延安大学附属医院手术麻醉临床信息管理系统采购项目）：属于专门面向中小企业采购。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1、营业执照：具有独立承担民事责任能力的法人或其他组织，提供合法有效的统一社会信用代码的营业执照（附年度报告书）或事业单位法人证书等国家规定的相关证明，自然人参与的提供其身份证明；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2、法定代表人授权书：法定代表人授权书（附法定代表人身份证复印件）及被授权人身份证（法定代表人直接参加只须提供法定代表人身份证）；</w:t>
      </w:r>
    </w:p>
    <w:p>
      <w:pPr>
        <w:pStyle w:val="null3"/>
      </w:pPr>
      <w:r>
        <w:rPr>
          <w:rFonts w:ascii="仿宋_GB2312" w:hAnsi="仿宋_GB2312" w:cs="仿宋_GB2312" w:eastAsia="仿宋_GB2312"/>
        </w:rPr>
        <w:t>3、税收缴纳证明：提供2025年度4月至2026年度4月份任意一个月份的缴税凭证或依法免税的供应商应提供相关文件证明；</w:t>
      </w:r>
    </w:p>
    <w:p>
      <w:pPr>
        <w:pStyle w:val="null3"/>
      </w:pPr>
      <w:r>
        <w:rPr>
          <w:rFonts w:ascii="仿宋_GB2312" w:hAnsi="仿宋_GB2312" w:cs="仿宋_GB2312" w:eastAsia="仿宋_GB2312"/>
        </w:rPr>
        <w:t>4、社会保障资金缴纳证明：提供2025年4月份至2026年4月份任意一个月份的社会保障资金缴存证明或社保机构开具的社会保险参保缴费情况证明；依法不需要缴纳社会保障资金的应提供相关文件证明；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5、财务状况证明：供应商须提供2024年度或2025年度的财务审计报告(成立时间至提交响应文件截止时间不足一年的可提供成立后任意时段的资产负债表)，或其基本存款账户开户银行出具的资信证明及基本存款账户开户信息；</w:t>
      </w:r>
    </w:p>
    <w:p>
      <w:pPr>
        <w:pStyle w:val="null3"/>
      </w:pPr>
      <w:r>
        <w:rPr>
          <w:rFonts w:ascii="仿宋_GB2312" w:hAnsi="仿宋_GB2312" w:cs="仿宋_GB2312" w:eastAsia="仿宋_GB2312"/>
        </w:rPr>
        <w:t>6、信用记录：提供《供应商信用记录书面声明函》（按格式填写），经查，供应商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p>
    <w:p>
      <w:pPr>
        <w:pStyle w:val="null3"/>
      </w:pPr>
      <w:r>
        <w:rPr>
          <w:rFonts w:ascii="仿宋_GB2312" w:hAnsi="仿宋_GB2312" w:cs="仿宋_GB2312" w:eastAsia="仿宋_GB2312"/>
        </w:rPr>
        <w:t>7、中小企业声明函：供应商须提供《中小企业声明函》；</w:t>
      </w:r>
    </w:p>
    <w:p>
      <w:pPr>
        <w:pStyle w:val="null3"/>
      </w:pPr>
      <w:r>
        <w:rPr>
          <w:rFonts w:ascii="仿宋_GB2312" w:hAnsi="仿宋_GB2312" w:cs="仿宋_GB2312" w:eastAsia="仿宋_GB2312"/>
        </w:rPr>
        <w:t>8、本项目不接受联合体磋商：提供非联合体磋商声明；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延安大学附属医院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陕西省延安市宝塔区北大街43号延安大学附属医院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0911-2881326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陕西炬荣招标代理有限公司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延安市新区大都荟B座501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0911-8887276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依据《国家发展改革委关于进一步放开建设项目专业服务价格的通知》发改价格〔2015〕299号参照原国家计委颁布的《招标代理服务收费管理暂行办法》（计价格[2002]1980号）及发改办价格[2003]857号文件的规定标准收取，由成交供应商在领取成交通知书前向采购代理机构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延安大学附属医院</w:t>
      </w:r>
      <w:r>
        <w:rPr>
          <w:rFonts w:ascii="仿宋_GB2312" w:hAnsi="仿宋_GB2312" w:cs="仿宋_GB2312" w:eastAsia="仿宋_GB2312"/>
        </w:rPr>
        <w:t>和</w:t>
      </w:r>
      <w:r>
        <w:rPr>
          <w:rFonts w:ascii="仿宋_GB2312" w:hAnsi="仿宋_GB2312" w:cs="仿宋_GB2312" w:eastAsia="仿宋_GB2312"/>
        </w:rPr>
        <w:t>陕西炬荣招标代理有限公司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延安大学附属医院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陕西炬荣招标代理有限公司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延安大学附属医院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陕西炬荣招标代理有限公司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1、采购人对成交单位提供的产品在使用前进行调试时，成交单位需负责安装并培训采购人的使用操作人员，并协助采购人一起调试，直到符合技术要求，采购人才做最终验收。 2、验收时采购方、成交单位等项目相关方都须在场，验收完毕后一致作出验收结果报告。 3、交付文档验收要求： 项目的工作内容及成果文档的提交应覆盖以下内容，电子文档是成果不可分割的部分： （1）系统的体系架构及描述。 （2）提供的其它技术手册，包括：《总体设计报告》；需求分析报告（含软件功能需求与数据要求）；《详细设计说明书》；《数据字典》；《接口文档》；系统实施确认书；软件培训资料；《系统运行维护手册》；程序安装维护手册；软件使用操作手册；项目验收报告。 （3）符合采购方项目管理要求，提交相应项目资料。</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联系电话：0911-8887276</w:t>
      </w:r>
    </w:p>
    <w:p>
      <w:pPr>
        <w:pStyle w:val="null3"/>
      </w:pPr>
      <w:r>
        <w:rPr>
          <w:rFonts w:ascii="仿宋_GB2312" w:hAnsi="仿宋_GB2312" w:cs="仿宋_GB2312" w:eastAsia="仿宋_GB2312"/>
        </w:rPr>
        <w:t>地址：延安市新区大都荟B座501室</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本次申请更换医院手术麻醉软件系统，核心目标是围绕医院 “以患者为中心，以质量为核心” 的发展理念，解决现有系统在临床应用、科室管理、数据整合及安全保障等方面存在的短板，构建一套功能完善、高效便捷、安全可靠、符合行业规范与医院发展需求的现代化手术麻醉管理体系。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1,080,000.00</w:t>
      </w:r>
    </w:p>
    <w:p>
      <w:pPr>
        <w:pStyle w:val="null3"/>
      </w:pPr>
      <w:r>
        <w:rPr>
          <w:rFonts w:ascii="仿宋_GB2312" w:hAnsi="仿宋_GB2312" w:cs="仿宋_GB2312" w:eastAsia="仿宋_GB2312"/>
        </w:rPr>
        <w:t>采购包最高限价（元）: 1,080,000.00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手术麻醉软件点位及复苏室点位手术护理系统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标的名称：手术麻醉软件点位及复苏室点位手术护理系统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一、总体</w:t>
            </w:r>
            <w:r>
              <w:rPr>
                <w:rFonts w:ascii="仿宋_GB2312" w:hAnsi="仿宋_GB2312" w:cs="仿宋_GB2312" w:eastAsia="仿宋_GB2312"/>
                <w:sz w:val="21"/>
              </w:rPr>
              <w:t>建设内容</w:t>
            </w:r>
          </w:p>
          <w:tbl>
            <w:tblPr>
              <w:tblBorders>
                <w:top w:val="none" w:color="000000" w:sz="4"/>
                <w:left w:val="none" w:color="000000" w:sz="4"/>
                <w:bottom w:val="none" w:color="000000" w:sz="4"/>
                <w:right w:val="none" w:color="000000" w:sz="4"/>
                <w:insideH w:val="none"/>
                <w:insideV w:val="none"/>
              </w:tblBorders>
            </w:tblPr>
            <w:tblGrid>
              <w:gridCol w:w="197"/>
              <w:gridCol w:w="399"/>
              <w:gridCol w:w="395"/>
              <w:gridCol w:w="1561"/>
            </w:tblGrid>
            <w:tr>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模块名称</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r>
                    <w:rPr>
                      <w:rFonts w:ascii="仿宋_GB2312" w:hAnsi="仿宋_GB2312" w:cs="仿宋_GB2312" w:eastAsia="仿宋_GB2312"/>
                      <w:sz w:val="21"/>
                      <w:b/>
                    </w:rPr>
                    <w:t>/单位</w:t>
                  </w:r>
                </w:p>
              </w:tc>
              <w:tc>
                <w:tcPr>
                  <w:tcW w:type="dxa" w:w="1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w:t>
                  </w:r>
                  <w:r>
                    <w:rPr>
                      <w:rFonts w:ascii="仿宋_GB2312" w:hAnsi="仿宋_GB2312" w:cs="仿宋_GB2312" w:eastAsia="仿宋_GB2312"/>
                      <w:sz w:val="21"/>
                      <w:b/>
                    </w:rPr>
                    <w:t>要求</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手术麻醉信息系统</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仿宋_GB2312" w:hAnsi="仿宋_GB2312" w:cs="仿宋_GB2312" w:eastAsia="仿宋_GB2312"/>
                      <w:sz w:val="21"/>
                    </w:rPr>
                    <w:t>功能要求：功能满足手术室内和手术室外场景使用；系统需涵盖手术排程、麻醉前评估、麻醉管理、复苏管理、病案管理、绩效管理、护理管理及文书编辑器等功能，确以优化资源分配和提升工作效率</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性能要求：系统需稳定可靠，响应迅速，同时保证数据的准确性和完整性。</w:t>
                  </w:r>
                </w:p>
                <w:p>
                  <w:pPr>
                    <w:pStyle w:val="null3"/>
                    <w:ind w:firstLine="420"/>
                  </w:pPr>
                  <w:r>
                    <w:rPr>
                      <w:rFonts w:ascii="仿宋_GB2312" w:hAnsi="仿宋_GB2312" w:cs="仿宋_GB2312" w:eastAsia="仿宋_GB2312"/>
                      <w:sz w:val="21"/>
                    </w:rPr>
                    <w:t>安全需求：医疗数据敏感性强，系统必须严格遵守隐私保护法规。</w:t>
                  </w:r>
                </w:p>
                <w:p>
                  <w:pPr>
                    <w:pStyle w:val="null3"/>
                    <w:ind w:firstLine="420"/>
                  </w:pPr>
                  <w:r>
                    <w:rPr>
                      <w:rFonts w:ascii="仿宋_GB2312" w:hAnsi="仿宋_GB2312" w:cs="仿宋_GB2312" w:eastAsia="仿宋_GB2312"/>
                      <w:sz w:val="21"/>
                    </w:rPr>
                    <w:t>集成能力：系统应无缝对接</w:t>
                  </w:r>
                  <w:r>
                    <w:rPr>
                      <w:rFonts w:ascii="仿宋_GB2312" w:hAnsi="仿宋_GB2312" w:cs="仿宋_GB2312" w:eastAsia="仿宋_GB2312"/>
                      <w:sz w:val="21"/>
                    </w:rPr>
                    <w:t>HIS、LIS、PACS、EMR等医院信息系统，实现数据共享和流程协同。</w:t>
                  </w:r>
                </w:p>
                <w:p>
                  <w:pPr>
                    <w:pStyle w:val="null3"/>
                    <w:ind w:firstLine="420"/>
                  </w:pPr>
                  <w:r>
                    <w:rPr>
                      <w:rFonts w:ascii="仿宋_GB2312" w:hAnsi="仿宋_GB2312" w:cs="仿宋_GB2312" w:eastAsia="仿宋_GB2312"/>
                      <w:sz w:val="21"/>
                    </w:rPr>
                    <w:t>用户优化性：界面设计直观易用，降低学习成本并提高医护人员的工作效率。</w:t>
                  </w:r>
                </w:p>
                <w:p>
                  <w:pPr>
                    <w:pStyle w:val="null3"/>
                    <w:ind w:firstLine="420"/>
                  </w:pPr>
                  <w:r>
                    <w:rPr>
                      <w:rFonts w:ascii="仿宋_GB2312" w:hAnsi="仿宋_GB2312" w:cs="仿宋_GB2312" w:eastAsia="仿宋_GB2312"/>
                      <w:sz w:val="21"/>
                    </w:rPr>
                    <w:t>数据分析与决策支持：系统需提供强大的统计分析功能，辅助管理者优化资源配置和质量控制。</w:t>
                  </w:r>
                </w:p>
              </w:tc>
            </w:tr>
          </w:tbl>
          <w:p>
            <w:pPr>
              <w:pStyle w:val="null3"/>
            </w:pPr>
            <w:r>
              <w:rPr>
                <w:rFonts w:ascii="仿宋_GB2312" w:hAnsi="仿宋_GB2312" w:cs="仿宋_GB2312" w:eastAsia="仿宋_GB2312"/>
                <w:sz w:val="21"/>
              </w:rPr>
              <w:t>二、</w:t>
            </w:r>
            <w:r>
              <w:rPr>
                <w:rFonts w:ascii="仿宋_GB2312" w:hAnsi="仿宋_GB2312" w:cs="仿宋_GB2312" w:eastAsia="仿宋_GB2312"/>
                <w:sz w:val="21"/>
              </w:rPr>
              <w:t>系统功能及技术参数要求</w:t>
            </w:r>
          </w:p>
          <w:p>
            <w:pPr>
              <w:pStyle w:val="null3"/>
            </w:pPr>
            <w:r>
              <w:rPr>
                <w:rFonts w:ascii="仿宋_GB2312" w:hAnsi="仿宋_GB2312" w:cs="仿宋_GB2312" w:eastAsia="仿宋_GB2312"/>
                <w:sz w:val="21"/>
              </w:rPr>
              <w:t>1）软件功能参数</w:t>
            </w:r>
            <w:r>
              <w:rPr>
                <w:rFonts w:ascii="仿宋_GB2312" w:hAnsi="仿宋_GB2312" w:cs="仿宋_GB2312" w:eastAsia="仿宋_GB2312"/>
                <w:sz w:val="21"/>
              </w:rPr>
              <w:t>要求</w:t>
            </w:r>
          </w:p>
          <w:tbl>
            <w:tblPr>
              <w:tblBorders>
                <w:top w:val="none" w:color="000000" w:sz="4"/>
                <w:left w:val="none" w:color="000000" w:sz="4"/>
                <w:bottom w:val="none" w:color="000000" w:sz="4"/>
                <w:right w:val="none" w:color="000000" w:sz="4"/>
                <w:insideH w:val="none"/>
                <w:insideV w:val="none"/>
              </w:tblBorders>
            </w:tblPr>
            <w:tblGrid>
              <w:gridCol w:w="297"/>
              <w:gridCol w:w="500"/>
              <w:gridCol w:w="1735"/>
            </w:tblGrid>
            <w:tr>
              <w:tc>
                <w:tcPr>
                  <w:tcW w:type="dxa" w:w="297"/>
                  <w:tcBorders>
                    <w:top w:val="single" w:color="595959"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w:t>
                  </w:r>
                </w:p>
                <w:p>
                  <w:pPr>
                    <w:pStyle w:val="null3"/>
                    <w:jc w:val="center"/>
                  </w:pPr>
                  <w:r>
                    <w:rPr>
                      <w:rFonts w:ascii="仿宋_GB2312" w:hAnsi="仿宋_GB2312" w:cs="仿宋_GB2312" w:eastAsia="仿宋_GB2312"/>
                      <w:sz w:val="21"/>
                    </w:rPr>
                    <w:t>模块</w:t>
                  </w:r>
                </w:p>
              </w:tc>
              <w:tc>
                <w:tcPr>
                  <w:tcW w:type="dxa" w:w="500"/>
                  <w:tcBorders>
                    <w:top w:val="single" w:color="595959"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功能点</w:t>
                  </w:r>
                </w:p>
              </w:tc>
              <w:tc>
                <w:tcPr>
                  <w:tcW w:type="dxa" w:w="1735"/>
                  <w:tcBorders>
                    <w:top w:val="single" w:color="595959"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w:t>
                  </w:r>
                  <w:r>
                    <w:rPr>
                      <w:rFonts w:ascii="仿宋_GB2312" w:hAnsi="仿宋_GB2312" w:cs="仿宋_GB2312" w:eastAsia="仿宋_GB2312"/>
                      <w:sz w:val="21"/>
                    </w:rPr>
                    <w:t>要求</w:t>
                  </w:r>
                  <w:r>
                    <w:rPr>
                      <w:rFonts w:ascii="仿宋_GB2312" w:hAnsi="仿宋_GB2312" w:cs="仿宋_GB2312" w:eastAsia="仿宋_GB2312"/>
                      <w:sz w:val="21"/>
                    </w:rPr>
                    <w:t>说明</w:t>
                  </w:r>
                </w:p>
              </w:tc>
            </w:tr>
            <w:tr>
              <w:tc>
                <w:tcPr>
                  <w:tcW w:type="dxa" w:w="297"/>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排程</w:t>
                  </w:r>
                </w:p>
                <w:p>
                  <w:pPr>
                    <w:pStyle w:val="null3"/>
                    <w:jc w:val="center"/>
                  </w:pPr>
                  <w:r>
                    <w:rPr>
                      <w:rFonts w:ascii="仿宋_GB2312" w:hAnsi="仿宋_GB2312" w:cs="仿宋_GB2312" w:eastAsia="仿宋_GB2312"/>
                      <w:sz w:val="21"/>
                    </w:rPr>
                    <w:t>管理</w:t>
                  </w: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手术排程</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与医院</w:t>
                  </w:r>
                  <w:r>
                    <w:rPr>
                      <w:rFonts w:ascii="仿宋_GB2312" w:hAnsi="仿宋_GB2312" w:cs="仿宋_GB2312" w:eastAsia="仿宋_GB2312"/>
                      <w:sz w:val="21"/>
                    </w:rPr>
                    <w:t>HIS系统对接，自动获取手术通知单，包括门诊和住院。</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可手动添加手术申请，快速完成急诊手术的添加</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支持查看手术申请信息的详情。</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可通过点击或者拖拽的方式进行快捷手术间安排和人员安排。</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可以批量进行护士等人员进行更改，也可单个患者进行人员安排的更改。</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术排程支持批量排程，一次选择多台手术后直接安排到指定手术间。手术间人员（麻醉医生、麻醉助手、巡回护士、器械护士）安排，支持拖动式安排，人员直接安排到手术间，当天手术间的所有手术自动跟手术间人员绑定，提高人员安排效率。</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针对未入手术室的手术，可以取消手术安排</w:t>
                  </w:r>
                </w:p>
              </w:tc>
            </w:tr>
            <w:tr>
              <w:tc>
                <w:tcPr>
                  <w:tcW w:type="dxa" w:w="297"/>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麻醉排程</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可通过选择或者拖拽的方式进行快捷安排麻醉医生。</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支持拖拽式进行麻醉医生的分配，包括主麻和副麻。</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一键排程</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▲结合院内排程规则（人员排班、人员类型、手术间、外科医生组及专科组等配置）实现手术间、台次及医护人员的一键排程。</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手术通知单</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根据手术安排，自动生成手术排班结果，支持对排班结果打印和导出，支持排班结果自动回传</w:t>
                  </w:r>
                  <w:r>
                    <w:rPr>
                      <w:rFonts w:ascii="仿宋_GB2312" w:hAnsi="仿宋_GB2312" w:cs="仿宋_GB2312" w:eastAsia="仿宋_GB2312"/>
                      <w:sz w:val="21"/>
                    </w:rPr>
                    <w:t>HIS系统。</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自动生成手术接送单，并支持批量打印。</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排班大屏展示</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根据手术安排，自动生成排班大屏，支持大屏幕液晶电视等设备显示当日手术排班情况，自动更新排班信息。显示当天需要完成的手术信息</w:t>
                  </w:r>
                  <w:r>
                    <w:rPr>
                      <w:rFonts w:ascii="仿宋_GB2312" w:hAnsi="仿宋_GB2312" w:cs="仿宋_GB2312" w:eastAsia="仿宋_GB2312"/>
                      <w:sz w:val="21"/>
                    </w:rPr>
                    <w:t>,包括手术时间，手术室，手术间，台次，病人信息，手术名称，手术医生，麻醉方式等。</w:t>
                  </w:r>
                </w:p>
              </w:tc>
            </w:tr>
            <w:tr>
              <w:tc>
                <w:tcPr>
                  <w:tcW w:type="dxa" w:w="297"/>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护理</w:t>
                  </w:r>
                </w:p>
                <w:p>
                  <w:pPr>
                    <w:pStyle w:val="null3"/>
                    <w:jc w:val="center"/>
                  </w:pPr>
                  <w:r>
                    <w:rPr>
                      <w:rFonts w:ascii="仿宋_GB2312" w:hAnsi="仿宋_GB2312" w:cs="仿宋_GB2312" w:eastAsia="仿宋_GB2312"/>
                      <w:sz w:val="21"/>
                    </w:rPr>
                    <w:t>管理</w:t>
                  </w:r>
                </w:p>
                <w:p>
                  <w:pPr>
                    <w:pStyle w:val="null3"/>
                    <w:jc w:val="center"/>
                  </w:p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手术管理</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以卡片的显示，展示已安排的手术信息，支持查看患者详情、患者全景、文书记录等信息。</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支持对手术进行取消，记录取消手术的原因，并对取消手术进行统计。</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支持急诊手术录入，系统根据录入急诊患者</w:t>
                  </w:r>
                  <w:r>
                    <w:rPr>
                      <w:rFonts w:ascii="仿宋_GB2312" w:hAnsi="仿宋_GB2312" w:cs="仿宋_GB2312" w:eastAsia="仿宋_GB2312"/>
                      <w:sz w:val="21"/>
                    </w:rPr>
                    <w:t>ID、住院号或门诊号，快速安排手术，在手术申请单补录后，可以直接关联手术申请单。</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护理访视</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系统提供护理术前、术后访视单，能够记录患者术前基本信息、手术信息和当前状态信息，可根据医院要求生成患者术前术后护理访视记录单。</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手术风险评估</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能够提供标准手术风险评估单，支持依据手术切口清洁程度、麻醉分级及手术持续时间等信息评估手术风险，支持</w:t>
                  </w:r>
                  <w:r>
                    <w:rPr>
                      <w:rFonts w:ascii="仿宋_GB2312" w:hAnsi="仿宋_GB2312" w:cs="仿宋_GB2312" w:eastAsia="仿宋_GB2312"/>
                      <w:sz w:val="21"/>
                    </w:rPr>
                    <w:t>NNIS自动分级。</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三方核查单</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支持手术安全核查单内容记录，可根据医院定制记录内容。</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▲支持PDA端进行三方核查，并支持录音。</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护理记录</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系统支持记录和查询患者手术过程中的护理情况，生成护理记录单。包括患者基本信息、手术信息、医护人员、术中特殊记录、标本信息等。可根据医院定制记录内容。</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可以根据不同手术配置不同手术护理记录单，如局麻手术护理记录、</w:t>
                  </w:r>
                  <w:r>
                    <w:rPr>
                      <w:rFonts w:ascii="仿宋_GB2312" w:hAnsi="仿宋_GB2312" w:cs="仿宋_GB2312" w:eastAsia="仿宋_GB2312"/>
                      <w:sz w:val="21"/>
                    </w:rPr>
                    <w:t>DSA手术护理记录、</w:t>
                  </w:r>
                  <w:r>
                    <w:rPr>
                      <w:rFonts w:ascii="仿宋_GB2312" w:hAnsi="仿宋_GB2312" w:cs="仿宋_GB2312" w:eastAsia="仿宋_GB2312"/>
                      <w:sz w:val="21"/>
                    </w:rPr>
                    <w:t>手术外的护理记录）</w:t>
                  </w:r>
                  <w:r>
                    <w:rPr>
                      <w:rFonts w:ascii="仿宋_GB2312" w:hAnsi="仿宋_GB2312" w:cs="仿宋_GB2312" w:eastAsia="仿宋_GB2312"/>
                      <w:sz w:val="21"/>
                    </w:rPr>
                    <w:t>等。</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支持压力性损伤评分，支持术前、术中及术后压疮评估。</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深静脉血栓评估，包含</w:t>
                  </w:r>
                  <w:r>
                    <w:rPr>
                      <w:rFonts w:ascii="仿宋_GB2312" w:hAnsi="仿宋_GB2312" w:cs="仿宋_GB2312" w:eastAsia="仿宋_GB2312"/>
                      <w:sz w:val="21"/>
                    </w:rPr>
                    <w:t>Caprini评分和Wells评分。</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支持术中不良事件与并发症情况登记</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病理登记</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支持对术中对患者病理标本进行登记并生成标本二维码标签</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器械清点</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支持器械包基本信息登记，提供器械包信息的添加、删除、编辑操作。支持编辑器械包内的器械信息，包括器械名称，数量，显示顺序。</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支持手术全程的器械使用登记，手术开始前、术中加数、关体腔前、关体腔后、四个阶段的器械清点。</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支持器械包维护，自定义不同类型手术常用器械包信息维护如名称、数量等。</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支持快速套用器械包，并支持单个器械、敷料添加修改。</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▲支持PDA端进行器械清点</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手术患者交接</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支持患者术前交接和术后交接，即病房到术间，术间到</w:t>
                  </w:r>
                  <w:r>
                    <w:rPr>
                      <w:rFonts w:ascii="仿宋_GB2312" w:hAnsi="仿宋_GB2312" w:cs="仿宋_GB2312" w:eastAsia="仿宋_GB2312"/>
                      <w:sz w:val="21"/>
                    </w:rPr>
                    <w:t>PACU/ICU/病房，PACU到ICU/病房的患者交接流程及记录，可根据医院，定制交接文书，包含护理、病区交接记录单，纳入手术交接闭环管理。</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▲支持手术间护理人员发出接送单，包含病区接患者到术间和从术间送患者前往病区/PACU/AICU/ICU等地，支持转运人员未接单前可取消发出的接送单及转运进度的查看</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▲支持转运人员PDA查看接送单信息，支持接单、取消接单、患者核对、开始转运、到达目的地等操作，支持交接人员电子签名</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▲支持接送单任务发起，转运人员接单、取消接送单、开始转运，手术间接收等时间节点时发送消息通知</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支持护理人员整体安排所有手术患者的转运任务安排，也支持在单个手术患者页面中进行转运任务安排</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支持患者转运节点中不同角色（领班、准备间护士）的设置，用于转运任务申请的审核</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标本转运</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▲支持病理、血液标本转运任务的发起及进度查看</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▲支持转运人员PDA查看病理、血液标本接送单信息，支持接单、取消接单、开始转运、到达目的地等操作，支持交接人员电子签名。</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支持护理人员整体安排所有手术标本（病理、血液）转运任务安排，也支持在单个手术患者页面中进行标本（病理、血液）转运任务安排。</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术间打扫</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▲支持术间护理人员发起术间打扫任务，支持取消和查看打扫进度。</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▲支持打扫人员PDA上接取打扫任务和任务完成操作。</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支持护理人员整体安排所有手术间打扫的任务安排，也支持在手术完成后在单个手术患者页面中进行打扫任务的安排。</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护理交班</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提供护理人员接班交班登记功能，并支持工作量统计。</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能够对多次人员交接班进行记录。</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手术计费</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▲支持手术收费项目的录入，支持根据麻醉单等手术过程中的相关记录自动生成收费明细，一键提交HIS系统完成收费。</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误餐登记</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支持自动查询当天某个时间点（如中午</w:t>
                  </w:r>
                  <w:r>
                    <w:rPr>
                      <w:rFonts w:ascii="仿宋_GB2312" w:hAnsi="仿宋_GB2312" w:cs="仿宋_GB2312" w:eastAsia="仿宋_GB2312"/>
                      <w:sz w:val="21"/>
                    </w:rPr>
                    <w:t>12点）还在手术中的手术列表。</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支持获取手术中的医务人员信息，并进行误餐登记（误餐时间、误餐原因）。</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支持误餐人员信息的统计，支持数据导出。</w:t>
                  </w:r>
                </w:p>
              </w:tc>
            </w:tr>
            <w:tr>
              <w:tc>
                <w:tcPr>
                  <w:tcW w:type="dxa" w:w="297"/>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术前麻醉评估</w:t>
                  </w: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访视单</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系统提供术前访视单格式，系统支持录入访视单信息。</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支持对患者的病史，一般体征检查、气道评估、呼吸系统、神经肌肉系统、实验室检查等情况进行记录，制定对应的麻醉计划。</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术后根据术中麻醉的实际情况，在术后恢复的过程中进行术后访视。系统对术后访视内容进行结构化处理，记录患者在术后的并发症、疼痛评分、器官系统等信息，可根据科室需求配置个性化的访视单（用于管理或者科研）。</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支持访视单中相关数据的统计和结果导出。</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评估单</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系统提供麻醉评估单格式，能够记录患者术前基本信息、各系统评估、麻醉方法、</w:t>
                  </w:r>
                  <w:r>
                    <w:rPr>
                      <w:rFonts w:ascii="仿宋_GB2312" w:hAnsi="仿宋_GB2312" w:cs="仿宋_GB2312" w:eastAsia="仿宋_GB2312"/>
                      <w:sz w:val="21"/>
                    </w:rPr>
                    <w:t>ASA分级、建议等，生成患者麻醉评估单（包括个性化的评估单配置）。</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支持老年患者衰弱评分及严重创伤患者的评估。</w:t>
                  </w:r>
                </w:p>
              </w:tc>
            </w:tr>
            <w:tr>
              <w:tc>
                <w:tcPr>
                  <w:tcW w:type="dxa" w:w="297"/>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术中麻醉管理模块</w:t>
                  </w: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患者标签</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能够对手术增加自定义标签，包含个人标签和公用标签。</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支持新增编辑删除标签分类，包括分类名称及分类颜色。</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支持公有与私有标签的新增编辑删除。</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麻醉记录</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能够展示当前手术采集设备状态信息。</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采集设备能够自动关联手术间，支持设备自动、手动解除绑定。</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手术室内麻醉记录单符合最新</w:t>
                  </w:r>
                  <w:r>
                    <w:rPr>
                      <w:rFonts w:ascii="仿宋_GB2312" w:hAnsi="仿宋_GB2312" w:cs="仿宋_GB2312" w:eastAsia="仿宋_GB2312"/>
                      <w:sz w:val="21"/>
                    </w:rPr>
                    <w:t>WS329—2024麻醉记录单标准。</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支持无痛胃肠镜、支气管镜、无痛人流，介入及无痛分娩镇痛等手术室外麻醉场景，支持根据手术室外麻醉的实际情况，展示场景个性化的记录单样式及内容。</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能够从手术申请中提取患者基本信息、包括姓名、性别、年龄、体重、病室、床号、手术日期、住院号、手术名称、麻醉方式、术前诊断等信息。</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能够自动计算患者</w:t>
                  </w:r>
                  <w:r>
                    <w:rPr>
                      <w:rFonts w:ascii="仿宋_GB2312" w:hAnsi="仿宋_GB2312" w:cs="仿宋_GB2312" w:eastAsia="仿宋_GB2312"/>
                      <w:sz w:val="21"/>
                    </w:rPr>
                    <w:t>BMI指数。</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支持麻醉前用药记录。</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能够以时间轴方式展现手术过程主要时间节点。</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提供麻醉模板功能，支持对麻醉术中记录保存为模板，以及模板的引用，方便快捷完成麻醉事件的记录，并支持以公有和私有的方式管理麻醉记录单模板。</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支持在麻醉记录单网格区域显示垂直辅助线，随鼠标移动浮窗展示当前所在时间轴对应的时间点及对应的时间及体征信息</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支持麻醉用药、输血、输液自动持续画图，支持通过鼠标拖动直接修改所有用药发生时间或持续用药的起始、结束时间。</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系统支持术中用药多途径录入，可以通过快捷操作统一界面进行用药、输血、输液输氧、事件批量录入。</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支持麻醉用药，根据用药开始时间，自动排序，方便查看。</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术中监测，支持设备数据自动采集，对于仪器设备干扰或其他因素产生的设备记录误差值可以人工手动修改，支持麻醉记录单上直接拖动修改数据</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支持自定义配置术间监测项目，包括项目显示名称、显示间隔、显示图标、图标颜色等内容。</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手术时间过长、麻醉用药过多或者事件记录过多，系统支持麻醉记录单横向连续展示，根据时间，对应事件显示在对应时间麻醉记录单，支持麻醉记录单分页打印。</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系统支持快捷检索，检索出药品、事件字典信息，实现麻醉事件及用药的快速录入，快速完成麻醉单，减轻医护人员工作量。</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能够设置药品常用剂量和单位，在药品录入的时候，能够配置快捷药品事件栏以及药品常用量，实现常用药品、事件的快速录入。</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能够将术中麻醉操作以数字序号方式标记在治疗序号区域对应时间点，对应麻醉备注区域事件详情。对于手术时间节点，自动生成对应的事件，标记的麻醉记录单上。</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能够根据手术状态，自动结束麻醉记录单体征数据和持续事件。</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ASA分级等信息的收集，并供统计报表出具相关结果，并且ASA分级，能够与其他文书互相同步。</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能够记录血气分析结果，并在麻醉单上显示血气分析数据，支持获取血气设备自动导入血气数据。</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能够对现有呼吸体征进行呼吸类型标注，可标注为自主呼吸、辅助呼吸或控制呼吸，并支持记录呼吸频率、潮气量及吸呼比。</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支持抢救模式，抢救期间密集体征（</w:t>
                  </w:r>
                  <w:r>
                    <w:rPr>
                      <w:rFonts w:ascii="仿宋_GB2312" w:hAnsi="仿宋_GB2312" w:cs="仿宋_GB2312" w:eastAsia="仿宋_GB2312"/>
                      <w:sz w:val="21"/>
                    </w:rPr>
                    <w:t>1分钟一次）和非抢救时间段共同显示</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支持患者手术去向选择，可选择病房、复苏室或</w:t>
                  </w:r>
                  <w:r>
                    <w:rPr>
                      <w:rFonts w:ascii="仿宋_GB2312" w:hAnsi="仿宋_GB2312" w:cs="仿宋_GB2312" w:eastAsia="仿宋_GB2312"/>
                      <w:sz w:val="21"/>
                    </w:rPr>
                    <w:t>ICU等。</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患者去向为</w:t>
                  </w:r>
                  <w:r>
                    <w:rPr>
                      <w:rFonts w:ascii="仿宋_GB2312" w:hAnsi="仿宋_GB2312" w:cs="仿宋_GB2312" w:eastAsia="仿宋_GB2312"/>
                      <w:sz w:val="21"/>
                    </w:rPr>
                    <w:t>PACU时，支持查看复苏床位情况并进行复苏床位的预约。</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麻醉交班</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提供麻醉医生接班交班功能登记，并支持工作量统计。</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能够对多次人员交接班进行记录。</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麻醉总结</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根据术中情况，进行麻醉总结，记录麻醉结束后对手术麻醉过程、麻醉效果、术中麻醉操作进行总结和评价，支持术中特殊情况及处理方式信息。为科室临床质量评估和质控提供依据。</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红白处方</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系统支持红白处方的记录，可以根据用量，自动计算剩余量。</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可以根据医院需求，进行定制化处方单，进行红白处方的打印</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系统自定时间段，查询统计处方药物，并支持结果导出</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镇痛管理</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系统提供镇痛数据记录，支持记录镇痛方式、镇痛药物、镇痛泵等内容。</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系统支持自定时间段，查询术后镇痛数据，并支持结果导出</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麻醉计费</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▲支持麻醉收费项目的录入，支持根据麻醉单等手术过程中的相关记录自动生成收费明细，一键提交HIS系统完成收费。</w:t>
                  </w:r>
                </w:p>
              </w:tc>
            </w:tr>
            <w:tr>
              <w:tc>
                <w:tcPr>
                  <w:tcW w:type="dxa" w:w="297"/>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复苏管理模块</w:t>
                  </w: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复苏登记</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对于术后转入</w:t>
                  </w:r>
                  <w:r>
                    <w:rPr>
                      <w:rFonts w:ascii="仿宋_GB2312" w:hAnsi="仿宋_GB2312" w:cs="仿宋_GB2312" w:eastAsia="仿宋_GB2312"/>
                      <w:sz w:val="21"/>
                    </w:rPr>
                    <w:t>PACU的患者，能够手动进行复苏床位的安排。</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支持对已预约复苏床位的患者进行复苏。</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以卡片的形式，展示每日复苏情况，并显示复苏患者的状态。</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复苏管理</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系统支持延续麻醉记录单进行复苏监测数据记录。</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系统支持记录术后复苏过程中的麻醉用药、事件、生命体征、患者入室情况、出室情况，并能够自动生成复苏记录单。</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系统提供恢复室交接单，能够患者入室和出室的记录，包括患者体征、神志、伤口敷料、皮肤、评分、出入量等情况。</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能够自动同步麻醉记录单和恢复室记录单上面的体征和出入量到恢复室交接单。</w:t>
                  </w:r>
                </w:p>
              </w:tc>
            </w:tr>
            <w:tr>
              <w:tc>
                <w:tcPr>
                  <w:tcW w:type="dxa" w:w="297"/>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病案管理</w:t>
                  </w: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病案管理</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支持查看过往所有已出手术间的手术信息，支持通过丰富的查询条件查找手术信息。</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支持查看麻醉风险评估单、麻醉知情同意书、麻醉记录单、器械清点单等手术室麻醉、护理相关文书，并支持预览、单独打印和批量打印。</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能够对患者麻醉相关文书进行归档。</w:t>
                  </w:r>
                </w:p>
              </w:tc>
            </w:tr>
            <w:tr>
              <w:tc>
                <w:tcPr>
                  <w:tcW w:type="dxa" w:w="297"/>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绩效管理</w:t>
                  </w: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绩效录入</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▲支持自动和手动为每台手术录入麻醉医生和护士的绩效指标（如麻醉时长、麻醉强度、麻醉方式、手术类型、基于护理工作性质的考核指标进行赋分），并自动计算分值。</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绩效统计</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支持查看查询时间段内麻醉医生和护士的绩效得分。</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支持折线图展示单个或多个医生和护士</w:t>
                  </w:r>
                  <w:r>
                    <w:rPr>
                      <w:rFonts w:ascii="仿宋_GB2312" w:hAnsi="仿宋_GB2312" w:cs="仿宋_GB2312" w:eastAsia="仿宋_GB2312"/>
                      <w:sz w:val="21"/>
                    </w:rPr>
                    <w:t>不同时间段绩效得分情况。</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支持按日期查看每个麻醉医生和护士每天的得分情况。</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绩效规则配置</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对绩效项目和得分规则进行配置</w:t>
                  </w:r>
                </w:p>
              </w:tc>
            </w:tr>
            <w:tr>
              <w:tc>
                <w:tcPr>
                  <w:tcW w:type="dxa" w:w="297"/>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教学管理</w:t>
                  </w: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学生和教师教学工作管理</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于学生和老师角色性质，实施考勤管理、培训科目档案留存、培训积分规则的个性化配置，并基于完成的质量给予评价，生成个人档案（包含学生和教师）；基于培训和教学工作的规则设置，支持每个角色完成情况的周、月、年的统计与提醒。</w:t>
                  </w:r>
                </w:p>
              </w:tc>
            </w:tr>
            <w:tr>
              <w:tc>
                <w:tcPr>
                  <w:tcW w:type="dxa" w:w="297"/>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数据统计分析模块</w:t>
                  </w: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质控管理</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支持并满足最新麻醉质控指标要求，满足</w:t>
                  </w:r>
                  <w:r>
                    <w:rPr>
                      <w:rFonts w:ascii="仿宋_GB2312" w:hAnsi="仿宋_GB2312" w:cs="仿宋_GB2312" w:eastAsia="仿宋_GB2312"/>
                      <w:sz w:val="21"/>
                    </w:rPr>
                    <w:t>2025年26项质控指标要求，以及省、市、医院对质控统计的要求。</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支持护理质控、三级医院评审、术后并发症、术中异常事件等统计和上报。</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支持质控指标按年、季、月的对比，展示对比图</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▲支持按照医院要求自定义配置质控指标并进行统计</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工作量统计</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手术科室工作量统计：分科室统计各科室不同级别手术</w:t>
                  </w:r>
                  <w:r>
                    <w:rPr>
                      <w:rFonts w:ascii="仿宋_GB2312" w:hAnsi="仿宋_GB2312" w:cs="仿宋_GB2312" w:eastAsia="仿宋_GB2312"/>
                      <w:sz w:val="21"/>
                    </w:rPr>
                    <w:t>的例数和时长，并可以选择科室，自定义时间查看对应月报、季报、年报。并支持数据导出，含手术室外的手术麻醉数量、级别、手术麻醉时间等的统计。</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麻醉医生工作量统计：统计不同医生不同级别、不同类型、不同麻醉方式的手术例数和时长，并可以选择医生，自定义时间查看对应月报、季报、年报。并支持数据导出</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手术护士工作量统计：统计不同护士不同级别和类型手术的例数和时长（包含个性化的需求），并可以选择护士，自定义时间查看对应月报、季报、年报。并支持数据导出。</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手术医生工作量统计：统计不同医生不同级别和类型手术的例数和时长，并可以选择医生，自定义时间查看对应月报、季报、年报。并支持数据导出。</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复苏护士工作量统计：统计不同护士不同级别和类型手术的例数和时长，并可以选择护士，自定义时间查看对应月报、季报、年报。并支持数据导出。</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▲支持按照医院要求自定义配置工作量统计</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业务查询</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取消手术统计，自定义时间，统计取消手术明细，</w:t>
                  </w:r>
                  <w:r>
                    <w:rPr>
                      <w:rFonts w:ascii="仿宋_GB2312" w:hAnsi="仿宋_GB2312" w:cs="仿宋_GB2312" w:eastAsia="仿宋_GB2312"/>
                      <w:sz w:val="21"/>
                    </w:rPr>
                    <w:t>并支持数据导出。</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术后镇痛统计，自定义时间，统计科室术后镇痛情况，并支持数据导出。</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术中输血统计，自定义时间，统计术中输血明细，</w:t>
                  </w:r>
                  <w:r>
                    <w:rPr>
                      <w:rFonts w:ascii="仿宋_GB2312" w:hAnsi="仿宋_GB2312" w:cs="仿宋_GB2312" w:eastAsia="仿宋_GB2312"/>
                      <w:sz w:val="21"/>
                    </w:rPr>
                    <w:t>并支持数据导出。</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手术去向统计，自定义时间，统计手术结束后患者不同去向情况，并支持数据导出。</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手术类型统计，自定义时间，统计不同手术类型手术的情况，</w:t>
                  </w:r>
                  <w:r>
                    <w:rPr>
                      <w:rFonts w:ascii="仿宋_GB2312" w:hAnsi="仿宋_GB2312" w:cs="仿宋_GB2312" w:eastAsia="仿宋_GB2312"/>
                      <w:sz w:val="21"/>
                    </w:rPr>
                    <w:t>并支持数据导出。</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麻醉等级统计，自定义时间，统计不同麻醉等级的手术的情况，</w:t>
                  </w:r>
                  <w:r>
                    <w:rPr>
                      <w:rFonts w:ascii="仿宋_GB2312" w:hAnsi="仿宋_GB2312" w:cs="仿宋_GB2312" w:eastAsia="仿宋_GB2312"/>
                      <w:sz w:val="21"/>
                    </w:rPr>
                    <w:t>并支持数据导出。</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麻醉方法变更统计，自定义时间，统计麻醉方法变更明细，并支持数据导出。</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体外循环统计，自定义时间，统计体外循环情况，并支持数据导出。</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心肺复苏统计，自定义时间，统计心肺复苏明细，</w:t>
                  </w:r>
                  <w:r>
                    <w:rPr>
                      <w:rFonts w:ascii="仿宋_GB2312" w:hAnsi="仿宋_GB2312" w:cs="仿宋_GB2312" w:eastAsia="仿宋_GB2312"/>
                      <w:sz w:val="21"/>
                    </w:rPr>
                    <w:t>并支持数据导出。</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多次手术统计，自定义时间，统计多次手术明细，并支持数据导出。</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术后并发症统计，自定义时间，统计术后并发症情况，并支持数据导出</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首台核查情况统计，自定义时间，统计首台核查情况，</w:t>
                  </w:r>
                  <w:r>
                    <w:rPr>
                      <w:rFonts w:ascii="仿宋_GB2312" w:hAnsi="仿宋_GB2312" w:cs="仿宋_GB2312" w:eastAsia="仿宋_GB2312"/>
                      <w:sz w:val="21"/>
                    </w:rPr>
                    <w:t>并支持数据导出。</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▲支持按科室、医疗组、个人等多层级统计与对比分析。</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▲支持按照医院要求自定义配置业务查询的统计报表。</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科室统计</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支持对每个手术科室统计手术量</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支持对每个手术科室统计不同手等级手术的手术量</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支持对每个手术科室准点开台率进行统计</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支持对每个手术科室手术平均时长进行统计</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支持对每个科室所有麻醉</w:t>
                  </w:r>
                  <w:r>
                    <w:rPr>
                      <w:rFonts w:ascii="仿宋_GB2312" w:hAnsi="仿宋_GB2312" w:cs="仿宋_GB2312" w:eastAsia="仿宋_GB2312"/>
                      <w:sz w:val="21"/>
                    </w:rPr>
                    <w:t>ASA分级例数和对应各级麻醉中急诊、择期、日间手术例数及比例。</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▲支持按照医院要求自定义配置科室统计的报表。</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BI驾驶舱</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整体全面的呈现当天手术室的运营情况，循环滚动显示每个数据的手术状态。以图表的形式展示手术量、手术登记、</w:t>
                  </w:r>
                  <w:r>
                    <w:rPr>
                      <w:rFonts w:ascii="仿宋_GB2312" w:hAnsi="仿宋_GB2312" w:cs="仿宋_GB2312" w:eastAsia="仿宋_GB2312"/>
                      <w:sz w:val="21"/>
                    </w:rPr>
                    <w:t>ASA分级、首台准点率、手术间利用率、急诊患者、日间手术、手术室外手术等统计数据</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支持护理监控大屏，展示手术整体情况、护理人力分布、近七天平均接台趋势、今日质量指标及手术间运行情况等信息。</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实时动态显示首台准点率数据并循环滚动患者手术时间轴信息。</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实时动态显示每个手术间的利用率情况，以时间轴的方式进行呈现。</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▲支持按照医院要求自定义配置BI驾驶舱内容</w:t>
                  </w:r>
                </w:p>
              </w:tc>
            </w:tr>
            <w:tr>
              <w:tc>
                <w:tcPr>
                  <w:tcW w:type="dxa" w:w="297"/>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CA电子签名</w:t>
                  </w: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CA电子签名</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支持麻醉、护理各类文书医护人员电子签名</w:t>
                  </w:r>
                </w:p>
              </w:tc>
            </w:tr>
            <w:tr>
              <w:tc>
                <w:tcPr>
                  <w:tcW w:type="dxa" w:w="297"/>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文书编辑器</w:t>
                  </w: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文书编辑器</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支持各类麻醉文书的自定义配置</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支持文书字段数据源配置，自动获取数据源</w:t>
                  </w:r>
                </w:p>
              </w:tc>
            </w:tr>
            <w:tr>
              <w:tc>
                <w:tcPr>
                  <w:tcW w:type="dxa" w:w="297"/>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w:t>
                  </w:r>
                </w:p>
                <w:p>
                  <w:pPr>
                    <w:pStyle w:val="null3"/>
                    <w:jc w:val="center"/>
                  </w:pPr>
                  <w:r>
                    <w:rPr>
                      <w:rFonts w:ascii="仿宋_GB2312" w:hAnsi="仿宋_GB2312" w:cs="仿宋_GB2312" w:eastAsia="仿宋_GB2312"/>
                      <w:sz w:val="21"/>
                    </w:rPr>
                    <w:t>配置</w:t>
                  </w: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基础字典</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支持药品、耗材等基础字典的配置</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医护人员管理</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支持院内医护人员信息维护管理</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角色管理</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支持对院内医护角色的配置管理</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权限管理</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支持为不同角色分配不同的功能权限</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功能配置</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能够配置医护人员、角色、权限、菜单等相关信息</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基础字典</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能够维护手术部位、手术等级、</w:t>
                  </w:r>
                  <w:r>
                    <w:rPr>
                      <w:rFonts w:ascii="仿宋_GB2312" w:hAnsi="仿宋_GB2312" w:cs="仿宋_GB2312" w:eastAsia="仿宋_GB2312"/>
                      <w:sz w:val="21"/>
                    </w:rPr>
                    <w:t>ASA分级、疾病诊断、手术名称、药品字典、诊疗字典、器械敷料、血气、节点管理等字典维护，并预置 ICD 标准手术名称字典</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麻醉配置</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能够维护麻醉业务相关字典，包括监测项目、设备列表、设备类型、文书设置、文书分类、麻醉模板、麻醉事件、麻醉事件扩展、器械敷料包、术前用药、镇痛用药、血气模板、计费模板等</w:t>
                  </w:r>
                </w:p>
              </w:tc>
            </w:tr>
            <w:tr>
              <w:tc>
                <w:tcPr>
                  <w:tcW w:type="dxa" w:w="297"/>
                  <w:vMerge/>
                  <w:tcBorders>
                    <w:top w:val="none" w:color="000000" w:sz="4"/>
                    <w:left w:val="single" w:color="595959" w:sz="4"/>
                    <w:bottom w:val="single" w:color="595959" w:sz="4"/>
                    <w:right w:val="single" w:color="595959" w:sz="4"/>
                  </w:tcBorders>
                </w:tcPr>
                <w:p/>
              </w:tc>
              <w:tc>
                <w:tcPr>
                  <w:tcW w:type="dxa" w:w="500"/>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多院区多科室支持</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能够多院区管理</w:t>
                  </w:r>
                </w:p>
              </w:tc>
            </w:tr>
            <w:tr>
              <w:tc>
                <w:tcPr>
                  <w:tcW w:type="dxa" w:w="297"/>
                  <w:vMerge/>
                  <w:tcBorders>
                    <w:top w:val="none" w:color="000000" w:sz="4"/>
                    <w:left w:val="single" w:color="595959" w:sz="4"/>
                    <w:bottom w:val="single" w:color="595959" w:sz="4"/>
                    <w:right w:val="single" w:color="595959" w:sz="4"/>
                  </w:tcBorders>
                </w:tcPr>
                <w:p/>
              </w:tc>
              <w:tc>
                <w:tcPr>
                  <w:tcW w:type="dxa" w:w="500"/>
                  <w:vMerge/>
                  <w:tcBorders>
                    <w:top w:val="none" w:color="000000" w:sz="4"/>
                    <w:left w:val="single" w:color="595959" w:sz="4"/>
                    <w:bottom w:val="single" w:color="595959" w:sz="4"/>
                    <w:right w:val="single" w:color="595959" w:sz="4"/>
                  </w:tcBorders>
                </w:tcP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能够多手术部多科室、麻醉科多科室管理</w:t>
                  </w:r>
                </w:p>
              </w:tc>
            </w:tr>
            <w:tr>
              <w:tc>
                <w:tcPr>
                  <w:tcW w:type="dxa" w:w="297"/>
                  <w:vMerge w:val="restart"/>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接口</w:t>
                  </w: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HIS</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能够集成</w:t>
                  </w:r>
                  <w:r>
                    <w:rPr>
                      <w:rFonts w:ascii="仿宋_GB2312" w:hAnsi="仿宋_GB2312" w:cs="仿宋_GB2312" w:eastAsia="仿宋_GB2312"/>
                      <w:sz w:val="21"/>
                    </w:rPr>
                    <w:t>HIS 系统，查看患者基本信息、医嘱信 息、住院信息、手术申请信息，支持医嘱类型过 滤。</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EMR</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能够与</w:t>
                  </w:r>
                  <w:r>
                    <w:rPr>
                      <w:rFonts w:ascii="仿宋_GB2312" w:hAnsi="仿宋_GB2312" w:cs="仿宋_GB2312" w:eastAsia="仿宋_GB2312"/>
                      <w:sz w:val="21"/>
                    </w:rPr>
                    <w:t>EMR 系统集成，调阅患者的住院病历病程。</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PACS</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能够与</w:t>
                  </w:r>
                  <w:r>
                    <w:rPr>
                      <w:rFonts w:ascii="仿宋_GB2312" w:hAnsi="仿宋_GB2312" w:cs="仿宋_GB2312" w:eastAsia="仿宋_GB2312"/>
                      <w:sz w:val="21"/>
                    </w:rPr>
                    <w:t>PACS 系统集成，提取患者术前的影像信 息。</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LIS</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能够与</w:t>
                  </w:r>
                  <w:r>
                    <w:rPr>
                      <w:rFonts w:ascii="仿宋_GB2312" w:hAnsi="仿宋_GB2312" w:cs="仿宋_GB2312" w:eastAsia="仿宋_GB2312"/>
                      <w:sz w:val="21"/>
                    </w:rPr>
                    <w:t>LIS 系统集成，提取患者术前检验结果。</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病理系统</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能够与病理系统集成，获取病理申请等信息。</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输血系统</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能够与输血系统集成，获取输血申请等信息。</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集成平台</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能够与集成平台对接，同步科室字典、人员字典等基础数据</w:t>
                  </w:r>
                  <w:r>
                    <w:rPr>
                      <w:rFonts w:ascii="仿宋_GB2312" w:hAnsi="仿宋_GB2312" w:cs="仿宋_GB2312" w:eastAsia="仿宋_GB2312"/>
                      <w:sz w:val="21"/>
                    </w:rPr>
                    <w:t>,同时展示患者的 360 视图。</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CA 接口</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支持与</w:t>
                  </w:r>
                  <w:r>
                    <w:rPr>
                      <w:rFonts w:ascii="仿宋_GB2312" w:hAnsi="仿宋_GB2312" w:cs="仿宋_GB2312" w:eastAsia="仿宋_GB2312"/>
                      <w:sz w:val="21"/>
                    </w:rPr>
                    <w:t>CA 系统对接实现电子签名，完善严格的权 限管理及控制体系。</w:t>
                  </w:r>
                </w:p>
              </w:tc>
            </w:tr>
            <w:tr>
              <w:tc>
                <w:tcPr>
                  <w:tcW w:type="dxa" w:w="297"/>
                  <w:vMerge/>
                  <w:tcBorders>
                    <w:top w:val="none" w:color="000000" w:sz="4"/>
                    <w:left w:val="single" w:color="595959" w:sz="4"/>
                    <w:bottom w:val="single" w:color="595959" w:sz="4"/>
                    <w:right w:val="single" w:color="595959" w:sz="4"/>
                  </w:tcBorders>
                </w:tcPr>
                <w:p/>
              </w:tc>
              <w:tc>
                <w:tcPr>
                  <w:tcW w:type="dxa" w:w="500"/>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测评要求</w:t>
                  </w:r>
                </w:p>
              </w:tc>
              <w:tc>
                <w:tcPr>
                  <w:tcW w:type="dxa" w:w="1735"/>
                  <w:tcBorders>
                    <w:top w:val="none" w:color="000000" w:sz="4"/>
                    <w:left w:val="single" w:color="595959" w:sz="4"/>
                    <w:bottom w:val="single" w:color="595959" w:sz="4"/>
                    <w:right w:val="single" w:color="595959"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满足医院互联互通五乙及电子病历六级评级要求。</w:t>
                  </w:r>
                </w:p>
              </w:tc>
            </w:tr>
          </w:tbl>
          <w:p>
            <w:pPr>
              <w:pStyle w:val="null3"/>
            </w:pPr>
            <w:r>
              <w:rPr>
                <w:rFonts w:ascii="仿宋_GB2312" w:hAnsi="仿宋_GB2312" w:cs="仿宋_GB2312" w:eastAsia="仿宋_GB2312"/>
                <w:sz w:val="21"/>
              </w:rPr>
              <w:t>2）配套硬件设备参数</w:t>
            </w:r>
            <w:r>
              <w:rPr>
                <w:rFonts w:ascii="仿宋_GB2312" w:hAnsi="仿宋_GB2312" w:cs="仿宋_GB2312" w:eastAsia="仿宋_GB2312"/>
                <w:sz w:val="21"/>
              </w:rPr>
              <w:t>要求</w:t>
            </w:r>
          </w:p>
          <w:tbl>
            <w:tblPr>
              <w:tblBorders>
                <w:top w:val="none" w:color="000000" w:sz="4"/>
                <w:left w:val="none" w:color="000000" w:sz="4"/>
                <w:bottom w:val="none" w:color="000000" w:sz="4"/>
                <w:right w:val="none" w:color="000000" w:sz="4"/>
                <w:insideH w:val="none"/>
                <w:insideV w:val="none"/>
              </w:tblBorders>
            </w:tblPr>
            <w:tblGrid>
              <w:gridCol w:w="284"/>
              <w:gridCol w:w="442"/>
              <w:gridCol w:w="1475"/>
              <w:gridCol w:w="352"/>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硬件类型</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p>
              </w:tc>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业务服务器</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CPU：核心数≥20；</w:t>
                  </w:r>
                </w:p>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 xml:space="preserve">≥64GB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存储</w:t>
                  </w:r>
                  <w:r>
                    <w:rPr>
                      <w:rFonts w:ascii="仿宋_GB2312" w:hAnsi="仿宋_GB2312" w:cs="仿宋_GB2312" w:eastAsia="仿宋_GB2312"/>
                      <w:sz w:val="21"/>
                    </w:rPr>
                    <w:t>: ≥</w:t>
                  </w:r>
                  <w:r>
                    <w:rPr>
                      <w:rFonts w:ascii="仿宋_GB2312" w:hAnsi="仿宋_GB2312" w:cs="仿宋_GB2312" w:eastAsia="仿宋_GB2312"/>
                      <w:sz w:val="21"/>
                    </w:rPr>
                    <w:t>2</w:t>
                  </w:r>
                  <w:r>
                    <w:rPr>
                      <w:rFonts w:ascii="仿宋_GB2312" w:hAnsi="仿宋_GB2312" w:cs="仿宋_GB2312" w:eastAsia="仿宋_GB2312"/>
                      <w:sz w:val="21"/>
                    </w:rPr>
                    <w:t>TB SAS 7.2K</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 xml:space="preserve">openEuler </w:t>
                  </w:r>
                  <w:r>
                    <w:rPr>
                      <w:rFonts w:ascii="仿宋_GB2312" w:hAnsi="仿宋_GB2312" w:cs="仿宋_GB2312" w:eastAsia="仿宋_GB2312"/>
                      <w:sz w:val="21"/>
                    </w:rPr>
                    <w:t>、</w:t>
                  </w:r>
                  <w:r>
                    <w:rPr>
                      <w:rFonts w:ascii="仿宋_GB2312" w:hAnsi="仿宋_GB2312" w:cs="仿宋_GB2312" w:eastAsia="仿宋_GB2312"/>
                      <w:sz w:val="21"/>
                    </w:rPr>
                    <w:t>Windows、Ubuntu</w:t>
                  </w:r>
                  <w:r>
                    <w:rPr>
                      <w:rFonts w:ascii="仿宋_GB2312" w:hAnsi="仿宋_GB2312" w:cs="仿宋_GB2312" w:eastAsia="仿宋_GB2312"/>
                      <w:sz w:val="24"/>
                    </w:rPr>
                    <w:t xml:space="preserve"> </w:t>
                  </w:r>
                  <w:r>
                    <w:rPr>
                      <w:rFonts w:ascii="仿宋_GB2312" w:hAnsi="仿宋_GB2312" w:cs="仿宋_GB2312" w:eastAsia="仿宋_GB2312"/>
                      <w:sz w:val="21"/>
                    </w:rPr>
                    <w:t>LTS</w:t>
                  </w:r>
                  <w:r>
                    <w:rPr>
                      <w:rFonts w:ascii="仿宋_GB2312" w:hAnsi="仿宋_GB2312" w:cs="仿宋_GB2312" w:eastAsia="仿宋_GB2312"/>
                      <w:sz w:val="21"/>
                    </w:rPr>
                    <w:t>操作系统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双电</w:t>
                  </w:r>
                  <w:r>
                    <w:rPr>
                      <w:rFonts w:ascii="仿宋_GB2312" w:hAnsi="仿宋_GB2312" w:cs="仿宋_GB2312" w:eastAsia="仿宋_GB2312"/>
                      <w:sz w:val="21"/>
                    </w:rPr>
                    <w:t>550W</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移动平板电脑</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存储容量：</w:t>
                  </w:r>
                  <w:r>
                    <w:rPr>
                      <w:rFonts w:ascii="仿宋_GB2312" w:hAnsi="仿宋_GB2312" w:cs="仿宋_GB2312" w:eastAsia="仿宋_GB2312"/>
                      <w:sz w:val="21"/>
                    </w:rPr>
                    <w:t>128GB；</w:t>
                  </w:r>
                </w:p>
                <w:p>
                  <w:pPr>
                    <w:pStyle w:val="null3"/>
                    <w:jc w:val="both"/>
                  </w:pPr>
                  <w:r>
                    <w:rPr>
                      <w:rFonts w:ascii="仿宋_GB2312" w:hAnsi="仿宋_GB2312" w:cs="仿宋_GB2312" w:eastAsia="仿宋_GB2312"/>
                      <w:sz w:val="21"/>
                    </w:rPr>
                    <w:t>运行内存：</w:t>
                  </w:r>
                  <w:r>
                    <w:rPr>
                      <w:rFonts w:ascii="仿宋_GB2312" w:hAnsi="仿宋_GB2312" w:cs="仿宋_GB2312" w:eastAsia="仿宋_GB2312"/>
                      <w:sz w:val="21"/>
                    </w:rPr>
                    <w:t>8GB；</w:t>
                  </w:r>
                </w:p>
                <w:p>
                  <w:pPr>
                    <w:pStyle w:val="null3"/>
                    <w:jc w:val="both"/>
                  </w:pPr>
                  <w:r>
                    <w:rPr>
                      <w:rFonts w:ascii="仿宋_GB2312" w:hAnsi="仿宋_GB2312" w:cs="仿宋_GB2312" w:eastAsia="仿宋_GB2312"/>
                      <w:sz w:val="21"/>
                    </w:rPr>
                    <w:t>屏幕尺寸：</w:t>
                  </w:r>
                  <w:r>
                    <w:rPr>
                      <w:rFonts w:ascii="仿宋_GB2312" w:hAnsi="仿宋_GB2312" w:cs="仿宋_GB2312" w:eastAsia="仿宋_GB2312"/>
                      <w:sz w:val="21"/>
                    </w:rPr>
                    <w:t>≥11英寸；</w:t>
                  </w:r>
                </w:p>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鸿蒙</w:t>
                  </w:r>
                  <w:r>
                    <w:rPr>
                      <w:rFonts w:ascii="仿宋_GB2312" w:hAnsi="仿宋_GB2312" w:cs="仿宋_GB2312" w:eastAsia="仿宋_GB2312"/>
                      <w:sz w:val="21"/>
                    </w:rPr>
                    <w:t>或安卓操作系统；</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护理工作站（笔记本电脑）</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CPU：核心数≥</w:t>
                  </w:r>
                  <w:r>
                    <w:rPr>
                      <w:rFonts w:ascii="仿宋_GB2312" w:hAnsi="仿宋_GB2312" w:cs="仿宋_GB2312" w:eastAsia="仿宋_GB2312"/>
                      <w:sz w:val="21"/>
                    </w:rPr>
                    <w:t>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≥8GB；</w:t>
                  </w:r>
                  <w:r>
                    <w:br/>
                  </w:r>
                  <w:r>
                    <w:rPr>
                      <w:rFonts w:ascii="仿宋_GB2312" w:hAnsi="仿宋_GB2312" w:cs="仿宋_GB2312" w:eastAsia="仿宋_GB2312"/>
                      <w:sz w:val="21"/>
                    </w:rPr>
                    <w:t>硬盘容量：</w:t>
                  </w:r>
                  <w:r>
                    <w:rPr>
                      <w:rFonts w:ascii="仿宋_GB2312" w:hAnsi="仿宋_GB2312" w:cs="仿宋_GB2312" w:eastAsia="仿宋_GB2312"/>
                      <w:sz w:val="21"/>
                    </w:rPr>
                    <w:t>≥512</w:t>
                  </w:r>
                  <w:r>
                    <w:rPr>
                      <w:rFonts w:ascii="仿宋_GB2312" w:hAnsi="仿宋_GB2312" w:cs="仿宋_GB2312" w:eastAsia="仿宋_GB2312"/>
                      <w:sz w:val="21"/>
                    </w:rPr>
                    <w:t>GB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显卡：集成显卡；</w:t>
                  </w:r>
                </w:p>
                <w:p>
                  <w:pPr>
                    <w:pStyle w:val="null3"/>
                    <w:jc w:val="both"/>
                  </w:pPr>
                  <w:r>
                    <w:rPr>
                      <w:rFonts w:ascii="仿宋_GB2312" w:hAnsi="仿宋_GB2312" w:cs="仿宋_GB2312" w:eastAsia="仿宋_GB2312"/>
                      <w:sz w:val="21"/>
                    </w:rPr>
                    <w:t>屏幕分辨率：</w:t>
                  </w:r>
                  <w:r>
                    <w:rPr>
                      <w:rFonts w:ascii="仿宋_GB2312" w:hAnsi="仿宋_GB2312" w:cs="仿宋_GB2312" w:eastAsia="仿宋_GB2312"/>
                      <w:sz w:val="21"/>
                    </w:rPr>
                    <w:t>1920*1200；</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移动终端（</w:t>
                  </w:r>
                  <w:r>
                    <w:rPr>
                      <w:rFonts w:ascii="仿宋_GB2312" w:hAnsi="仿宋_GB2312" w:cs="仿宋_GB2312" w:eastAsia="仿宋_GB2312"/>
                      <w:sz w:val="21"/>
                    </w:rPr>
                    <w:t>PDA）</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处理器：</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核</w:t>
                  </w:r>
                  <w:r>
                    <w:rPr>
                      <w:rFonts w:ascii="仿宋_GB2312" w:hAnsi="仿宋_GB2312" w:cs="仿宋_GB2312" w:eastAsia="仿宋_GB2312"/>
                      <w:sz w:val="21"/>
                    </w:rPr>
                    <w:t>2.0GHz；</w:t>
                  </w:r>
                </w:p>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≥4G+64G；</w:t>
                  </w:r>
                </w:p>
                <w:p>
                  <w:pPr>
                    <w:pStyle w:val="null3"/>
                    <w:jc w:val="both"/>
                  </w:pPr>
                  <w:r>
                    <w:rPr>
                      <w:rFonts w:ascii="仿宋_GB2312" w:hAnsi="仿宋_GB2312" w:cs="仿宋_GB2312" w:eastAsia="仿宋_GB2312"/>
                      <w:sz w:val="21"/>
                    </w:rPr>
                    <w:t>≥5英寸彩色高清；</w:t>
                  </w:r>
                </w:p>
                <w:p>
                  <w:pPr>
                    <w:pStyle w:val="null3"/>
                    <w:jc w:val="both"/>
                  </w:pPr>
                  <w:r>
                    <w:rPr>
                      <w:rFonts w:ascii="仿宋_GB2312" w:hAnsi="仿宋_GB2312" w:cs="仿宋_GB2312" w:eastAsia="仿宋_GB2312"/>
                      <w:sz w:val="21"/>
                    </w:rPr>
                    <w:t>前置</w:t>
                  </w:r>
                  <w:r>
                    <w:rPr>
                      <w:rFonts w:ascii="仿宋_GB2312" w:hAnsi="仿宋_GB2312" w:cs="仿宋_GB2312" w:eastAsia="仿宋_GB2312"/>
                      <w:sz w:val="21"/>
                    </w:rPr>
                    <w:t>摄像头</w:t>
                  </w:r>
                  <w:r>
                    <w:rPr>
                      <w:rFonts w:ascii="仿宋_GB2312" w:hAnsi="仿宋_GB2312" w:cs="仿宋_GB2312" w:eastAsia="仿宋_GB2312"/>
                      <w:sz w:val="21"/>
                    </w:rPr>
                    <w:t>：</w:t>
                  </w:r>
                  <w:r>
                    <w:rPr>
                      <w:rFonts w:ascii="仿宋_GB2312" w:hAnsi="仿宋_GB2312" w:cs="仿宋_GB2312" w:eastAsia="仿宋_GB2312"/>
                      <w:sz w:val="21"/>
                    </w:rPr>
                    <w:t>≥500W像素</w:t>
                  </w:r>
                  <w:r>
                    <w:rPr>
                      <w:rFonts w:ascii="仿宋_GB2312" w:hAnsi="仿宋_GB2312" w:cs="仿宋_GB2312" w:eastAsia="仿宋_GB2312"/>
                      <w:sz w:val="21"/>
                    </w:rPr>
                    <w:t>；</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1"/>
                    </w:rPr>
                    <w:t>后置</w:t>
                  </w:r>
                  <w:r>
                    <w:rPr>
                      <w:rFonts w:ascii="仿宋_GB2312" w:hAnsi="仿宋_GB2312" w:cs="仿宋_GB2312" w:eastAsia="仿宋_GB2312"/>
                      <w:sz w:val="21"/>
                    </w:rPr>
                    <w:t>摄像头</w:t>
                  </w:r>
                  <w:r>
                    <w:rPr>
                      <w:rFonts w:ascii="仿宋_GB2312" w:hAnsi="仿宋_GB2312" w:cs="仿宋_GB2312" w:eastAsia="仿宋_GB2312"/>
                      <w:sz w:val="21"/>
                    </w:rPr>
                    <w:t>≥1300W像素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具备</w:t>
                  </w:r>
                  <w:r>
                    <w:rPr>
                      <w:rFonts w:ascii="仿宋_GB2312" w:hAnsi="仿宋_GB2312" w:cs="仿宋_GB2312" w:eastAsia="仿宋_GB2312"/>
                      <w:sz w:val="21"/>
                    </w:rPr>
                    <w:t>WiFi功能；</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bl>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实施人员要求：成交单位应仔细研读磋商文件，根据项目内容及理解，提供项目详尽的实施方案和进度表。实施方案内容大致包括：1.组织保障安排：成立领导小组，领导小组中的责任分工等。2.制定具体的实施流程、实施内容。3.成交单位应在系统实施方案中描述具体的实施团队的组成、工作内容、投入人员、项目进程表及采购人的配合等内容。实施期间，成交单位应按磋商文件要求派遣具有同类三甲医院项目成功实施经验的工程师驻扎医院进行项目的开发实施工作。成交单位的实施团队应具有丰富的项目的经验，能协助医院提供全方位的工作，包括但不限于项目咨询、软件研发、系统实施等。成交单位须派驻至少2名专职工程师进行本次项目软硬件的需求细化调研、设计开发、功能测试、应用培训、部署上线、系统配置、数据准备等实施工作，在响应文件中提供承诺并加盖单位公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满足竞争性磋商文件服务内容要求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质量要求：满足采购人要求，符合国家及相关行业合格标准。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自合同签订起10个月内完成系统功能需求细化调研、设计开发、功能测试、应用培训、部署上线等工作。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甲方指定的总院区、心脑血管医院、妇儿医院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1、采购人对成交单位提供的产品在使用前进行调试时，成交单位需负责安装并培训采购人的使用操作人员，并协助采购人一起调试，直到符合技术要求，采购人才做最终验收。 2、验收时采购方、成交单位等项目相关方都须在场，验收完毕后一致作出验收结果报告。 3、交付文档验收要求： 项目的工作内容及成果文档的提交应覆盖以下内容，电子文档是成果不可分割的部分： （1）系统的体系架构及描述。 （2）提供的其它技术手册，包括：《总体设计报告》；需求分析报告（含软件功能需求与数据要求）；《详细设计说明书》；《数据字典》；《接口文档》；系统实施确认书；软件培训资料；《系统运行维护手册》；程序安装维护手册；软件使用操作手册；项目验收报告。 （3）符合采购方项目管理要求，提交相应项目资料。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 本合同约定的硬件全部到货并经采购方签收确认后，成交单位向采购方开具合法有效发票；采购方收到发票后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项目系统上线并正常稳定运行满一个月，且系统功能、技术指标均符合本合同、招投标文件及项目实施计划要求的，由采购方组织项目验收。双方签署项目验收合格报告之日起15 个工作日内，中标方向采购方提交付款申请及合法有效发票；采购方审核无误后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项目免费维护期自项目验收合格之日起算；采购方依据双方约定的售后服务考核标准对中标方服务进行考核，考核合格的，采购方于验收合格之日起满三年后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凡因本合同的签订、履行、解除、终止引起的或与本合同有关的任何争议，双方应通过友好协商解决，协商不成时，向延安市宝塔区人民法院提起诉讼解决。诉讼期间,双方应继续执行合同其余部分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1.项目培训 制定培训计划，根据不同岗位的需求，设计针对性的培训内容。 开展分层培训，采用集中授课、现场实操的方式，先对医院内部骨干人员进行培训，再由骨干人员对科室其他人员进行二次培训，确保每位相关人员都能熟练掌握系统操作。 编制培训材料，包括《系统操作手册》，发放给培训人员，便于后续查阅与学习，培训结束后组织考核，确保培训效果。 2.售后服务 2.1本次项目中涉及的产品须至少自验收之日起提供3年免费维保服务。成交单位应在响应文件中说明在免费维保期内提供的服务计划，维保范围包括软件安装、调试、维修、免费版本升级、接口优化，以及技术支持、系统巡检等。 2.2免费版本升级服务要求 升级范围：包含但不限于因国家/行业政策更新（如质控指标、病历规范、电子病历/互联互通评级标准调整）的适配性升级，系统功能漏洞修复、性能优化升级，技术迭代（如接口协议、数据标准更新）升级，以及根据医院临床业务、科室管理需求提出的合理功能优化升级。 升级流程：成交单位需建立版本升级预警及通知机制，提前向采购单位提交版本升级计划、升级内容、升级时间及注意事项；升级前需完成测试环境验证，确保升级后系统稳定运行，不影响医院正常手术麻醉业务；升级过程由成交单位专业工程师全程实施，如需现场操作，需在医院指定非工作时间完成；升级后需向采购单位提供升级报告，并开展针对性培训，确保医护人员熟练使用升级后功能。 升级保障：版本升级过程中需做好数据备份工作，确保医院围术期数据完整、准确，无丢失、无篡改；若升级后出现系统故障，成交单位需按故障响应要求及时处理，确保系统恢复正常运行。 2.3在免费维保期内，成交单位应确保系统的正常使用。项目验收后根据实际需要，提供工程技术人员提供技术服务，配合远程维护、电话、电子邮件、互联网远程支持等多种服务方式。在免费维保期内，提供每天24小时、每周7天的响应服务(7×24小时响应服务)。质保期内软件出现问题时，供应商响应时间不得超过2小时，故障修复时间不得超过 48 小时，包括提供相同功能的软件给采购人使用，直至故障软件修复为止。 2.4项目验收合格后，在免费维保期内，成交单位需安排至少1名具有开发能力和版本升级经验的售后维护人员，定期对系统进行巡检（每月至少 1 次），检查系统运行状态、数据安全性、系统版本适配性等，形成巡检报告并及时解决问题；每季度向采购单位提交系统运行及版本升级评估报告，提出优化建议。 2.5免费维保期满后，双方可另行签订维保协议，每年维保服务费不高于合同总金额的 8%，成交单位需按原标准提供售后服务，包括系统版本升级服务（具体升级范围及费用在维保协议中另行约定），不得擅自降低服务质量。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供应商认为有必要说明的其他问题.docx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供应商须提供2024或2025年度的财务审计报告(成立时间至提交响应文件截止时间不足一年的可提供成立后任意时段的资产负债表)，或其基本存款账户开户银行出具的资信证明及基本存款账户开户信息；</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供应商认为有必要说明的其他问题.docx 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本项目标的物所属行业为软件和信息技术服务业，参与的供应商服务全部由符合政策要求的中小企业承接，并提供《中小企业声明函》。</w:t>
            </w:r>
          </w:p>
        </w:tc>
        <w:tc>
          <w:tcPr>
            <w:tcW w:type="dxa" w:w="1661"/>
          </w:tcPr>
          <w:p>
            <w:pPr>
              <w:pStyle w:val="null3"/>
            </w:pPr>
            <w:r>
              <w:rPr>
                <w:rFonts w:ascii="仿宋_GB2312" w:hAnsi="仿宋_GB2312" w:cs="仿宋_GB2312" w:eastAsia="仿宋_GB2312"/>
              </w:rPr>
              <w:t>中小企业声明函 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落实政府采购相关政策</w:t>
            </w:r>
          </w:p>
        </w:tc>
        <w:tc>
          <w:tcPr>
            <w:tcW w:type="dxa" w:w="3322"/>
          </w:tcPr>
          <w:p>
            <w:pPr>
              <w:pStyle w:val="null3"/>
            </w:pPr>
            <w:r>
              <w:rPr>
                <w:rFonts w:ascii="仿宋_GB2312" w:hAnsi="仿宋_GB2312" w:cs="仿宋_GB2312" w:eastAsia="仿宋_GB2312"/>
              </w:rPr>
              <w:t>（1）政府采购促进中小企业发展管理办法的通知--财库[2020]46号； （2）财政部司法部关于政府采购支持监狱企业发展有关问题的通知--财库[2014]68号； （3）国务院办公厅关于建立政府强制采购节能产品制度的通知--国办发[2007]51号； （4）关于促进残疾人就业政府采购政策的通知--财库[2017]141号。 （5）财政部、国家发改委、生态环境部、市场监管总局联合印发《关于调整优化节能产品、环境标志产品政府采购执行机制的通知》（财库〔2019〕9号）。 （6）财政部农业农村部国家乡村振兴局关于运用政府采购政策支持乡村产业振兴的通知（财库〔2021〕19号）、财政部农业农村部国家乡村振兴局中华全国供销合作总社关于印发&lt;关于深入开展政府采购脱贫地区农副产品工作推进乡村产业振兴的实施意见&gt;的通知（财库〔2021〕20号）。 （7）《陕西省财政厅关于加快推进我省中小企业政府采购信用融资工作的通知》（陕财办采〔2020〕15号）、陕西省财政厅关于印发《陕西省中小企业政府采购信用融资办法》（陕财办采〔2018〕23号）。 （8）《国务院办公厅关于在政府采购中实施本国产品标准及相关政策的通知》（国办发〔2025〕34号）。</w:t>
            </w:r>
          </w:p>
        </w:tc>
        <w:tc>
          <w:tcPr>
            <w:tcW w:type="dxa" w:w="1661"/>
          </w:tcPr>
          <w:p>
            <w:pPr>
              <w:pStyle w:val="null3"/>
            </w:pPr>
            <w:r>
              <w:rPr>
                <w:rFonts w:ascii="仿宋_GB2312" w:hAnsi="仿宋_GB2312" w:cs="仿宋_GB2312" w:eastAsia="仿宋_GB2312"/>
              </w:rPr>
              <w:t>中小企业声明函 残疾人福利性单位声明函 附件-关于符合本国产品标准的声明函.docx 响应函 资质证明文件.docx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具有独立承担民事责任能力的法人或其他组织，提供合法有效的统一社会信用代码的营业执照（附年度报告书）或事业单位法人证书等国家规定的相关证明，自然人参与的提供其身份证明；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法定代表人授权书（附法定代表人身份证复印件）及被授权人身份证（法定代表人直接参加只须提供法定代表人身份证）；</w:t>
            </w:r>
          </w:p>
        </w:tc>
        <w:tc>
          <w:tcPr>
            <w:tcW w:type="dxa" w:w="1661"/>
          </w:tcPr>
          <w:p>
            <w:pPr>
              <w:pStyle w:val="null3"/>
            </w:pPr>
            <w:r>
              <w:rPr>
                <w:rFonts w:ascii="仿宋_GB2312" w:hAnsi="仿宋_GB2312" w:cs="仿宋_GB2312" w:eastAsia="仿宋_GB2312"/>
              </w:rPr>
              <w:t>资质证明文件.docx 法定代表人证明书与授权书.docx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提供2025年度4月至2026年度4月份任意一个月份的缴税凭证或依法免税的供应商应提供相关文件证明；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提供2025年4月份至2026年4月份任意一个月份的社会保障资金缴存证明或社保机构开具的社会保险参保缴费情况证明；依法不需要缴纳社会保障资金的应提供相关文件证明；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供应商须提供2024年度或2025年度的财务审计报告(成立时间至提交响应文件截止时间不足一年的可提供成立后任意时段的资产负债表)，或其基本存款账户开户银行出具的资信证明及基本存款账户开户信息；</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经查，供应商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p>
        </w:tc>
        <w:tc>
          <w:tcPr>
            <w:tcW w:type="dxa" w:w="1661"/>
          </w:tcPr>
          <w:p>
            <w:pPr>
              <w:pStyle w:val="null3"/>
            </w:pPr>
            <w:r>
              <w:rPr>
                <w:rFonts w:ascii="仿宋_GB2312" w:hAnsi="仿宋_GB2312" w:cs="仿宋_GB2312" w:eastAsia="仿宋_GB2312"/>
              </w:rPr>
              <w:t>供应商认为有必要说明的其他问题.docx 响应函 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供应商须提供《中小企业声明函》；</w:t>
            </w:r>
          </w:p>
        </w:tc>
        <w:tc>
          <w:tcPr>
            <w:tcW w:type="dxa" w:w="1661"/>
          </w:tcPr>
          <w:p>
            <w:pPr>
              <w:pStyle w:val="null3"/>
            </w:pPr>
            <w:r>
              <w:rPr>
                <w:rFonts w:ascii="仿宋_GB2312" w:hAnsi="仿宋_GB2312" w:cs="仿宋_GB2312" w:eastAsia="仿宋_GB2312"/>
              </w:rPr>
              <w:t>中小企业声明函 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供应商按照磋商文件要求上传响应文件并进行电子签章</w:t>
            </w:r>
          </w:p>
        </w:tc>
        <w:tc>
          <w:tcPr>
            <w:tcW w:type="dxa" w:w="1661"/>
          </w:tcPr>
          <w:p>
            <w:pPr>
              <w:pStyle w:val="null3"/>
            </w:pPr>
            <w:r>
              <w:rPr>
                <w:rFonts w:ascii="仿宋_GB2312" w:hAnsi="仿宋_GB2312" w:cs="仿宋_GB2312" w:eastAsia="仿宋_GB2312"/>
              </w:rPr>
              <w:t>业绩.docx 中小企业声明函 报价表 法定代表人证明书与授权书.docx 技术商务服务方案.docx 响应文件封面 技术偏离表.docx 残疾人福利性单位声明函 供应商认为有必要说明的其他问题.docx 附件-关于符合本国产品标准的声明函.docx 标的清单 标的清单-1.docx 响应函 商务偏离表.docx 资质证明文件.docx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标的清单-1.docx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均符合磋商文件要求</w:t>
            </w:r>
          </w:p>
        </w:tc>
        <w:tc>
          <w:tcPr>
            <w:tcW w:type="dxa" w:w="1661"/>
          </w:tcPr>
          <w:p>
            <w:pPr>
              <w:pStyle w:val="null3"/>
            </w:pPr>
            <w:r>
              <w:rPr>
                <w:rFonts w:ascii="仿宋_GB2312" w:hAnsi="仿宋_GB2312" w:cs="仿宋_GB2312" w:eastAsia="仿宋_GB2312"/>
              </w:rPr>
              <w:t>业绩.docx 中小企业声明函 报价表 法定代表人证明书与授权书.docx 技术商务服务方案.docx 响应文件封面 技术偏离表.docx 残疾人福利性单位声明函 供应商认为有必要说明的其他问题.docx 附件-关于符合本国产品标准的声明函.docx 标的清单 标的清单-1.docx 响应函 商务偏离表.docx 资质证明文件.docx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响应文件的语言及计量单位</w:t>
            </w:r>
          </w:p>
        </w:tc>
        <w:tc>
          <w:tcPr>
            <w:tcW w:type="dxa" w:w="3322"/>
          </w:tcPr>
          <w:p>
            <w:pPr>
              <w:pStyle w:val="null3"/>
            </w:pPr>
            <w:r>
              <w:rPr>
                <w:rFonts w:ascii="仿宋_GB2312" w:hAnsi="仿宋_GB2312" w:cs="仿宋_GB2312" w:eastAsia="仿宋_GB2312"/>
              </w:rPr>
              <w:t>均符合磋商文件要求</w:t>
            </w:r>
          </w:p>
        </w:tc>
        <w:tc>
          <w:tcPr>
            <w:tcW w:type="dxa" w:w="1661"/>
          </w:tcPr>
          <w:p>
            <w:pPr>
              <w:pStyle w:val="null3"/>
            </w:pPr>
            <w:r>
              <w:rPr>
                <w:rFonts w:ascii="仿宋_GB2312" w:hAnsi="仿宋_GB2312" w:cs="仿宋_GB2312" w:eastAsia="仿宋_GB2312"/>
              </w:rPr>
              <w:t>业绩.docx 中小企业声明函 报价表 法定代表人证明书与授权书.docx 技术商务服务方案.docx 响应文件封面 技术偏离表.docx 残疾人福利性单位声明函 供应商认为有必要说明的其他问题.docx 附件-关于符合本国产品标准的声明函.docx 标的清单 标的清单-1.docx 响应函 商务偏离表.docx 资质证明文件.docx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不属于采购文件规定的无效情形</w:t>
            </w:r>
          </w:p>
        </w:tc>
        <w:tc>
          <w:tcPr>
            <w:tcW w:type="dxa" w:w="3322"/>
          </w:tcPr>
          <w:p>
            <w:pPr>
              <w:pStyle w:val="null3"/>
            </w:pPr>
            <w:r>
              <w:rPr>
                <w:rFonts w:ascii="仿宋_GB2312" w:hAnsi="仿宋_GB2312" w:cs="仿宋_GB2312" w:eastAsia="仿宋_GB2312"/>
              </w:rPr>
              <w:t>供应商按照磋商文件要求上传响应文件</w:t>
            </w:r>
          </w:p>
        </w:tc>
        <w:tc>
          <w:tcPr>
            <w:tcW w:type="dxa" w:w="1661"/>
          </w:tcPr>
          <w:p>
            <w:pPr>
              <w:pStyle w:val="null3"/>
            </w:pPr>
            <w:r>
              <w:rPr>
                <w:rFonts w:ascii="仿宋_GB2312" w:hAnsi="仿宋_GB2312" w:cs="仿宋_GB2312" w:eastAsia="仿宋_GB2312"/>
              </w:rPr>
              <w:t>业绩.docx 中小企业声明函 报价表 法定代表人证明书与授权书.docx 技术商务服务方案.docx 响应文件封面 技术偏离表.docx 残疾人福利性单位声明函 供应商认为有必要说明的其他问题.docx 附件-关于符合本国产品标准的声明函.docx 标的清单 标的清单-1.docx 响应函 商务偏离表.docx 资质证明文件.docx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建设内容方案</w:t>
            </w:r>
          </w:p>
        </w:tc>
        <w:tc>
          <w:tcPr>
            <w:tcW w:type="dxa" w:w="2492"/>
          </w:tcPr>
          <w:p>
            <w:pPr>
              <w:pStyle w:val="null3"/>
            </w:pPr>
            <w:r>
              <w:rPr>
                <w:rFonts w:ascii="仿宋_GB2312" w:hAnsi="仿宋_GB2312" w:cs="仿宋_GB2312" w:eastAsia="仿宋_GB2312"/>
              </w:rPr>
              <w:t>供应商须针对项目提供详细的建设内容方案，方案应充分理解采购人对于本项目的建设思路及需求，包含但不限于：对建设原则、建设要求、总体设计及特点、系统组成与核心功能模块的描述。 得分标准：1、方案理解深刻，逻辑清晰，内容详实，建设内容完全覆盖并优于招标要求，针对性强，完全满足项目实施需要，得20分；2、方案理解较充分，逻辑较清晰，内容较完整，建设内容达到招标要求，具有较好的针对性，得15分；3、方案理解基本到位，内容基本完整，但部分建设内容描述不够深入或略有欠缺，基本满足招标要求，得10分；4、方案理解有偏差，内容不完整、针对性弱，存在缺陷或套用痕迹，未能有效满足招标要求或不具备可行性，得5分；5、不提供建设内容方案，得0分。（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技术商务服务方案.docx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产品技术参数、功能配置、品牌规格型号等有详细说明，无缺漏项，选型合理，配置齐全，完全满足磋商文件要求得30分。其中带“▲”项技术参数要求须在产品的佐证材料体现，未体现或不符合要求的视为负偏离，每负偏离一项扣3分；其余参数每负偏离一项扣1分,扣完为止。 注：佐证材料包含不限于检测报告、产品彩页、产品说明书、官网功能截图等支持性文件（资料）等，未提供视为负偏离）。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演示内容要求： 1.核心功能演示（5分）： 完整展示手术室内、外手术麻醉全流程管理功能（手术申请信息调取、麻醉排程、术前评估、术中生命体征监测、麻醉记录单生成、复苏管理等），功能覆盖全面、逻辑清晰（5分）； 核心功能部分缺失或流程存在明显断点（3分）； 核心功能演示不完整（1分）。 2.护理闭环功能（5分）： 展示患者转运、标本转运、用血转运、器械清点、三方核查等PC与PDA协同闭环能力（5分）； 功能缺失或不满足闭环（3分）； 功能演示不完整（1分）。 注：（1）评审现场播放提前录制好的演示视频，所录制的演示视频中系统环境必须是在真实用户实装系统进行现场操作演示，演示视频为应用系统录屏加解说的方式录制，演示文件存储格式为 MP4，以U盘形式提交（U盘作为后期验证系统真实性的依据），功能覆盖磋商文件功能要求；（2）无演示内容PPT、Demo等其他形式要求以外其他方式进行演示的或者放弃现场演示的，不得分；（3）供应商自行承担所递交视频资料无法打开（或无法播放）带来的后果。（4）演示U盘递交地址：延安市新区大都荟B座501。</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供应商须针对项目制定项目实施方案，方案应包含但不限于：管理方案（包括计划、人员、沟通、风险等内容）、项目进度及验收方案、质量保障方案。 方案中包含以上3个要素且充分考虑采购人的实际现状，科学规范，覆盖全面，客观、准确、可行，能完全满足或优于项目实施实际需要的得10分，每缺少一项扣2分，一项有缺陷扣1分，扣完为止。 (内容缺陷是指: 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供应商须为保障医院数据信息安全，提供详细的突发事件应急预案，方案应包含但不限于：应急预案、突发问题解决、故障的响应速度以及处理方案等。 得分标准： 方案中包含以上4个要素且充分考虑采购人的实际现状，科学规范，覆盖全面，客观、准确、可行，能完全满足或优于项目实施实际需要的得4分。 每缺少一项核心要素扣1分。 每有一项内容存在缺陷或不完善扣0.2分，扣完为止。（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供应商须提供完善的培训计划，方案应包含但不限于：培训目标、培训内容、培训对象、培训方式、培训时间安排、培训考核等。 方案及计划清晰合理、有针对性、切实可行，本项得满分3分，方案每出现一项缺陷、不完善或缺乏针对性或其他弱势之处扣0.5分，扣完为止。 （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磋商单位或响应产品厂商提供自 2022 年1月1日至今所取得的类似业绩 （响应文件中附合同复印件或中标通知书复印件）：每有一项得1分，不提供不得分，最多得4分。提供合同复印件须包含合同首页、盖章页、关键服务内容页的复印件，并加盖本单位公章)。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技术商务服务方案.docx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产品著作权</w:t>
            </w:r>
          </w:p>
        </w:tc>
        <w:tc>
          <w:tcPr>
            <w:tcW w:type="dxa" w:w="2492"/>
          </w:tcPr>
          <w:p>
            <w:pPr>
              <w:pStyle w:val="null3"/>
            </w:pPr>
            <w:r>
              <w:rPr>
                <w:rFonts w:ascii="仿宋_GB2312" w:hAnsi="仿宋_GB2312" w:cs="仿宋_GB2312" w:eastAsia="仿宋_GB2312"/>
              </w:rPr>
              <w:t>磋商单位或响应产品厂商具有手术麻醉系统相关系统软件著作权证书；围术期风险预警及辅助决策相关系统软件著作权证书；围术期智能访视相关系统软件著作权证书；每提供1份软件著作权登记证书复印件的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技术商务服务方案.docx</w:t>
            </w:r>
          </w:p>
          <w:p>
            <w:pPr>
              <w:pStyle w:val="null3"/>
            </w:pPr>
            <w:r>
              <w:rPr>
                <w:rFonts w:ascii="仿宋_GB2312" w:hAnsi="仿宋_GB2312" w:cs="仿宋_GB2312" w:eastAsia="仿宋_GB2312"/>
              </w:rPr>
              <w:t>供应商认为有必要说明的其他问题.docx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供应商须针对项目制定售后服务方案，方案应包含但不限于：售后服务承诺、售后服务内容、售后服务响应时间等。 方案中包含以上3个要素且充分考虑采购人的实际现状，科学规范，覆盖全面，客观、准确、可行，能完全满足或优于项目实施实际需要的得满分6分，每缺少一项扣2分，一项有缺陷扣1分，扣完为止。 （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标的清单-1.docx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以满足磋商文件要求且磋商价格最低的响应报价为评标基准价，其价格分为满分10分，其他磋商单位的价格分按照下列公式计算：磋商报价得分=（评标基准价/响应报价）×10%×100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详见附件：标的清单-1.docx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详见附件：法定代表人证明书与授权书.docx</w:t>
      </w:r>
    </w:p>
    <w:p>
      <w:pPr>
        <w:pStyle w:val="null3"/>
        <w:ind w:firstLine="960"/>
      </w:pPr>
      <w:r>
        <w:rPr>
          <w:rFonts w:ascii="仿宋_GB2312" w:hAnsi="仿宋_GB2312" w:cs="仿宋_GB2312" w:eastAsia="仿宋_GB2312"/>
        </w:rPr>
        <w:t>详见附件：资质证明文件.docx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详见附件：技术商务服务方案.docx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