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版本号：ZY2026-ZB-GK109520260617001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西安市安全生产资格考试基地运维保障项目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ZY2026-ZB-GK1095</w:t>
      </w:r>
      <w:r>
        <w:br/>
      </w:r>
      <w:r>
        <w:br/>
      </w:r>
      <w:r>
        <w:br/>
      </w:r>
    </w:p>
    <w:p>
      <w:pPr>
        <w:pStyle w:val="null3"/>
        <w:jc w:val="center"/>
        <w:outlineLvl w:val="2"/>
      </w:pPr>
      <w:r>
        <w:rPr>
          <w:rFonts w:ascii="仿宋_GB2312" w:hAnsi="仿宋_GB2312" w:cs="仿宋_GB2312" w:eastAsia="仿宋_GB2312"/>
          <w:sz w:val="28"/>
          <w:b/>
        </w:rPr>
        <w:t>西安市安全生产宣传教育中心</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西安市安全生产宣传教育中心</w:t>
      </w:r>
      <w:r>
        <w:rPr>
          <w:rFonts w:ascii="仿宋_GB2312" w:hAnsi="仿宋_GB2312" w:cs="仿宋_GB2312" w:eastAsia="仿宋_GB2312"/>
        </w:rPr>
        <w:t>委托，拟对</w:t>
      </w:r>
      <w:r>
        <w:rPr>
          <w:rFonts w:ascii="仿宋_GB2312" w:hAnsi="仿宋_GB2312" w:cs="仿宋_GB2312" w:eastAsia="仿宋_GB2312"/>
        </w:rPr>
        <w:t>西安市安全生产资格考试基地运维保障项目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ZY2026-ZB-GK1095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西安市安全生产资格考试基地运维保障项目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西安市安全生产宣传教育中心西安市安全生产资格考试基地运维保障项目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2、财务状况报告：提供2025年度经审计的完整财务报告或开标日期前三个月内其基本存款账户开户银行出具的资信证明。（如提供资信证明，须同时提供基本存款账户开户许可证或基本账户信息表）；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3、税收缴纳证明：提供开标截止时间前1年内任意一个月的税收缴纳证明（时间以税款所属日期为准)，依法免税的单位应提供相关证明材料；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4、社会保障资金缴纳证明：提供开标截止时间前1年内任意一个月的社会保障资金缴存单据或社保机构开具的社会保险参保缴费情况证明，依法不需要缴纳社会保障资金的单位应提供相关证明材料；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w:t>
      </w:r>
    </w:p>
    <w:p>
      <w:pPr>
        <w:pStyle w:val="null3"/>
      </w:pPr>
      <w:r>
        <w:rPr>
          <w:rFonts w:ascii="仿宋_GB2312" w:hAnsi="仿宋_GB2312" w:cs="仿宋_GB2312" w:eastAsia="仿宋_GB2312"/>
        </w:rPr>
        <w:t>6、参加本次政府采购活动前三年内在经营活动中没有重大违法记录：提供参加本次政府采购活动前三年内在经营活动中没有重大违法记录的书面声明；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7、信用记录：未被列入信用中国网站(www.creditchina.gov.cn)“失信被执行人、重大税收违法失信主体”；不处于中国政府采购网(www.ccgp.gov.cn)“政府采购严重违法失信行为信息记录”中的禁止参加政府采购活动期间；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8、授权委托书：法定代表人授权委托书、被授权人身份证(法定代表人参加开标时,只需提供法定代表人身份证；被授权人参加开标时，需提供开标截止时间前三个月至少一个月的基本养老保险参保缴费证明）。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西安市安全生产宣传教育中心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西安市未央区荣熙巷旭辉中心2号楼7层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西安市安全生产宣传教育中心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029-86517262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王甜甜、张晶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采购预算为基数，参考国家计委颁布《招标代理服务收费管理暂行办法》（计价格[2002]1980号）和国家发展和改革委员会办公厅颁发的《关于招标代理服务收费有关问题的通知》（发改办价格[2003]857号）文件规定执行。 收款账户如下： 收款单位：陕西正翼项目管理咨询有限公司西安分公司 ； 开户银行：中国光大银行股份有限公司西安经济技术开发区支行； 银行账号：78680188000360910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西安市安全生产宣传教育中心</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西安市安全生产宣传教育中心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西安市安全生产宣传教育中心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确认服务标准和服务方式是否达到采购要求，符合国家和省、市有关行业标准及采购人的有关规定合国家和省、市有关行业标准及采购人的有关规定。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联系人：王甜甜</w:t>
      </w:r>
    </w:p>
    <w:p>
      <w:pPr>
        <w:pStyle w:val="null3"/>
      </w:pPr>
      <w:r>
        <w:rPr>
          <w:rFonts w:ascii="仿宋_GB2312" w:hAnsi="仿宋_GB2312" w:cs="仿宋_GB2312" w:eastAsia="仿宋_GB2312"/>
        </w:rPr>
        <w:t>联系电话：029-86210100转604</w:t>
      </w:r>
    </w:p>
    <w:p>
      <w:pPr>
        <w:pStyle w:val="null3"/>
      </w:pPr>
      <w:r>
        <w:rPr>
          <w:rFonts w:ascii="仿宋_GB2312" w:hAnsi="仿宋_GB2312" w:cs="仿宋_GB2312" w:eastAsia="仿宋_GB2312"/>
        </w:rPr>
        <w:t>地址：陕西省西安市西安经济技术开发区凤城五路123号秦创原·软科中心B座11层1101室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西安市安全生产资格考试基地运维保障项目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2,250,000.00</w:t>
      </w:r>
    </w:p>
    <w:p>
      <w:pPr>
        <w:pStyle w:val="null3"/>
      </w:pPr>
      <w:r>
        <w:rPr>
          <w:rFonts w:ascii="仿宋_GB2312" w:hAnsi="仿宋_GB2312" w:cs="仿宋_GB2312" w:eastAsia="仿宋_GB2312"/>
        </w:rPr>
        <w:t>采购包最高限价（元）: 2,250,000.00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西安市安全生产资格考试基地运维保障项目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标的名称：西安市安全生产资格考试基地运维保障项目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pPr>
            <w:r>
              <w:rPr>
                <w:rFonts w:ascii="仿宋_GB2312" w:hAnsi="仿宋_GB2312" w:cs="仿宋_GB2312" w:eastAsia="仿宋_GB2312"/>
              </w:rPr>
              <w:t>西安市安全生产资格考试基地年度总考试约8-10万人次，为满足《安全生产考试机构和考试点管理规定》（应急发〔2025〕41号）规定和上级关于考试工作的有关要求，拟通过招标方式采购西安市安全生产资格考试基地运维保障项目，确保考试顺利进行。考试内容主要包括：高危企业的主要负责人、安全生产管理人员和特种作业人员理论考试；特种作业人员安全技术实际操作考试。</w:t>
            </w:r>
          </w:p>
          <w:p>
            <w:pPr>
              <w:pStyle w:val="null3"/>
            </w:pPr>
            <w:r>
              <w:rPr>
                <w:rFonts w:ascii="仿宋_GB2312" w:hAnsi="仿宋_GB2312" w:cs="仿宋_GB2312" w:eastAsia="仿宋_GB2312"/>
                <w:b/>
              </w:rPr>
              <w:t>二、服务内容</w:t>
            </w:r>
          </w:p>
          <w:p>
            <w:pPr>
              <w:pStyle w:val="null3"/>
            </w:pPr>
            <w:r>
              <w:rPr>
                <w:rFonts w:ascii="仿宋_GB2312" w:hAnsi="仿宋_GB2312" w:cs="仿宋_GB2312" w:eastAsia="仿宋_GB2312"/>
              </w:rPr>
              <w:t>1.乙方负责提供符合甲方所需的安全生产考试服务，按照甲方要求和有关规定完成安全生产考试全流程工作和其他相关工作任务。</w:t>
            </w:r>
          </w:p>
          <w:p>
            <w:pPr>
              <w:pStyle w:val="null3"/>
            </w:pPr>
            <w:r>
              <w:rPr>
                <w:rFonts w:ascii="仿宋_GB2312" w:hAnsi="仿宋_GB2312" w:cs="仿宋_GB2312" w:eastAsia="仿宋_GB2312"/>
              </w:rPr>
              <w:t>（1）安全技术实际操作考评人员（兼安全员）。应符合《安全生产考试机构和考试点管理规定》（应急发〔2025〕41号）第十四条的规定条件，还应具备相关专业中级以上职称或高级工以上职业技能等级证书。主要工作内容：根据考试计划，安排主考官1人，通用工种考评员约10人，全年约200个考试日；制冷、登高、电力三项、危化10项等考评员根据考试安排每次约安排2人，全年约24个考试日，确保实操考试计划顺利完成。依据考试情况据实结算。</w:t>
            </w:r>
          </w:p>
          <w:p>
            <w:pPr>
              <w:pStyle w:val="null3"/>
            </w:pPr>
            <w:r>
              <w:rPr>
                <w:rFonts w:ascii="仿宋_GB2312" w:hAnsi="仿宋_GB2312" w:cs="仿宋_GB2312" w:eastAsia="仿宋_GB2312"/>
              </w:rPr>
              <w:t>（2）考试系统管理人员。应符合《安全生产考试机构和考试点管理规定》（应急发〔2025〕41号）第十五条的规定条件，要求每日在岗2人。主要工作内容：负责考试服务器、考试电脑运维调试、视频监测系统录像整理和故障处理、考试系统升级、考试数据整理归档、网络日常安全检测、电子设备日常养护等工作，确保理论考试计划顺利完成。</w:t>
            </w:r>
          </w:p>
          <w:p>
            <w:pPr>
              <w:pStyle w:val="null3"/>
            </w:pPr>
            <w:r>
              <w:rPr>
                <w:rFonts w:ascii="仿宋_GB2312" w:hAnsi="仿宋_GB2312" w:cs="仿宋_GB2312" w:eastAsia="仿宋_GB2312"/>
              </w:rPr>
              <w:t>（3）安全技术实操设备、消防设备维护。至少一名安全技术实际操作考试设备管理人员，应符合《安全生产考试机构和考试点管理规定》（应急发〔2025〕41号）第十六条的规定条件，其他人员根据工作需要配备。主要工作内容：负责安全技术实际操作考试设备每周检查、每季度保养、校准调试、故障维修、配件更换，确保实操考试设备状态良好；负责消防器材每月安全检查、年检更换、消防通道检查、消防系统年度检测，确保消防设施设备符合规定。</w:t>
            </w:r>
          </w:p>
          <w:p>
            <w:pPr>
              <w:pStyle w:val="null3"/>
            </w:pPr>
            <w:r>
              <w:rPr>
                <w:rFonts w:ascii="仿宋_GB2312" w:hAnsi="仿宋_GB2312" w:cs="仿宋_GB2312" w:eastAsia="仿宋_GB2312"/>
              </w:rPr>
              <w:t>（4）网络服务。服务内容包括：考试专用专线网络（保障理论机考、监控数据传输、考试信息传送顺畅、稳定）。</w:t>
            </w:r>
          </w:p>
          <w:p>
            <w:pPr>
              <w:pStyle w:val="null3"/>
            </w:pPr>
            <w:r>
              <w:rPr>
                <w:rFonts w:ascii="仿宋_GB2312" w:hAnsi="仿宋_GB2312" w:cs="仿宋_GB2312" w:eastAsia="仿宋_GB2312"/>
              </w:rPr>
              <w:t>（5）实操考试耗材、考生劳保用品及应急药品耗材。</w:t>
            </w:r>
          </w:p>
          <w:p>
            <w:pPr>
              <w:pStyle w:val="null3"/>
            </w:pPr>
            <w:r>
              <w:rPr>
                <w:rFonts w:ascii="仿宋_GB2312" w:hAnsi="仿宋_GB2312" w:cs="仿宋_GB2312" w:eastAsia="仿宋_GB2312"/>
              </w:rPr>
              <w:t>考试耗材主要包括：焊条、焊丝、钢板、氧气表、乙炔表、二氧化碳气表、氩气表、割枪、割嘴、钨极、焊钳、导电嘴、保护套、点火枪、牛皮手套（长款）、羊皮手套（短款）、防尘口罩、氧气、乙炔、二氧化碳气体、氩气、除尘设备滤芯、熔断器、断路器、热继电器、接线端子、开关、连接管、绝缘胶带、剥线钳、老虎钳、尖嘴钳、螺丝刀、工具刀、验电器、验电笔、护目镜、安全绳、安全带、脚扣、绝缘手套、绝缘鞋、差速自控所、电池、万用表、兆欧表、电流表、扳手、防滑鞋、安全网、一次性鞋套、一次性口膜、棉线手套、心肺复苏模拟人、考生工服、劳保鞋、安全帽等考试耗材、用具、元器件；急救包、创可贴、消毒水、止疼片等考场应急药品及辅助物资。因本项目所需耗材种类繁多，以上耗材明细未能完全列出的，在实际考试过程中，应根据考试实际需求采购，单价不能高于市场平均价。</w:t>
            </w:r>
          </w:p>
          <w:p>
            <w:pPr>
              <w:pStyle w:val="null3"/>
            </w:pPr>
            <w:r>
              <w:rPr>
                <w:rFonts w:ascii="仿宋_GB2312" w:hAnsi="仿宋_GB2312" w:cs="仿宋_GB2312" w:eastAsia="仿宋_GB2312"/>
              </w:rPr>
              <w:t>（6）考场安全责任保险费用</w:t>
            </w:r>
          </w:p>
          <w:p>
            <w:pPr>
              <w:pStyle w:val="null3"/>
            </w:pPr>
            <w:r>
              <w:rPr>
                <w:rFonts w:ascii="仿宋_GB2312" w:hAnsi="仿宋_GB2312" w:cs="仿宋_GB2312" w:eastAsia="仿宋_GB2312"/>
              </w:rPr>
              <w:t>保险保障内容：覆盖考点场内考试、考务工作、设备操作全过程的伤亡事故、民事赔偿责任，保额不低于100万元/人次，全面规避考场运营安全风险。所需费用据实结算。</w:t>
            </w:r>
          </w:p>
          <w:p>
            <w:pPr>
              <w:pStyle w:val="null3"/>
            </w:pPr>
            <w:r>
              <w:rPr>
                <w:rFonts w:ascii="仿宋_GB2312" w:hAnsi="仿宋_GB2312" w:cs="仿宋_GB2312" w:eastAsia="仿宋_GB2312"/>
              </w:rPr>
              <w:t>（7）其它服务</w:t>
            </w:r>
          </w:p>
          <w:p>
            <w:pPr>
              <w:pStyle w:val="null3"/>
            </w:pPr>
            <w:r>
              <w:rPr>
                <w:rFonts w:ascii="仿宋_GB2312" w:hAnsi="仿宋_GB2312" w:cs="仿宋_GB2312" w:eastAsia="仿宋_GB2312"/>
              </w:rPr>
              <w:t>保障考试顺利进行必须的国产电脑系统使用费用、人脸比对识别数据包费用等其它费用，依据实际情况据实结算。</w:t>
            </w:r>
          </w:p>
          <w:p>
            <w:pPr>
              <w:pStyle w:val="null3"/>
            </w:pPr>
            <w:r>
              <w:rPr>
                <w:rFonts w:ascii="仿宋_GB2312" w:hAnsi="仿宋_GB2312" w:cs="仿宋_GB2312" w:eastAsia="仿宋_GB2312"/>
                <w:b/>
              </w:rPr>
              <w:t>三、服务要求</w:t>
            </w:r>
          </w:p>
          <w:p>
            <w:pPr>
              <w:pStyle w:val="null3"/>
            </w:pPr>
            <w:r>
              <w:rPr>
                <w:rFonts w:ascii="仿宋_GB2312" w:hAnsi="仿宋_GB2312" w:cs="仿宋_GB2312" w:eastAsia="仿宋_GB2312"/>
              </w:rPr>
              <w:t>1.服务内容涉及到的服务人员应当身体健康、遵纪守法，品行端正，无违法犯罪记录，具有较好的组织、沟通、协调能力，工作细致、责任心强、吃苦耐劳。</w:t>
            </w:r>
          </w:p>
          <w:p>
            <w:pPr>
              <w:pStyle w:val="null3"/>
            </w:pPr>
            <w:r>
              <w:rPr>
                <w:rFonts w:ascii="仿宋_GB2312" w:hAnsi="仿宋_GB2312" w:cs="仿宋_GB2312" w:eastAsia="仿宋_GB2312"/>
              </w:rPr>
              <w:t>2.安全技术实际操作考评人员、考试系统管理人员、安全技术实际操作考试设备管理人员应符合《安全生产考试机构和考试点管理规定》（应急发〔2025〕41号）规定条件。安全技术实际操作考评人员，还应具备相关专业中级以上职称或高级工以上职业技能等级证书。</w:t>
            </w:r>
          </w:p>
          <w:p>
            <w:pPr>
              <w:pStyle w:val="null3"/>
            </w:pPr>
            <w:r>
              <w:rPr>
                <w:rFonts w:ascii="仿宋_GB2312" w:hAnsi="仿宋_GB2312" w:cs="仿宋_GB2312" w:eastAsia="仿宋_GB2312"/>
              </w:rPr>
              <w:t>3.供应商应对项目涉及到的服务人员把关，确定面试人员名单，面试通过后经体检、政审合格后到岗。下列人员不得使用：现役军人；在读的普通高校非应届毕业生；与采购单位有应当回避情形的人员；曾被机关、事业单位、村社区和企业等原工作单位开除或辞退的人员；在国家考试中被认定有舞弊等违反考试纪律行为人员；被列为失信的人员；有其他不良情况或行为，不宜从事相关工作的人员；从事与考试工作相关培训活动的人员。</w:t>
            </w:r>
          </w:p>
          <w:p>
            <w:pPr>
              <w:pStyle w:val="null3"/>
            </w:pPr>
            <w:r>
              <w:rPr>
                <w:rFonts w:ascii="仿宋_GB2312" w:hAnsi="仿宋_GB2312" w:cs="仿宋_GB2312" w:eastAsia="仿宋_GB2312"/>
              </w:rPr>
              <w:t>4.服务内容涉及到的服务人员有关情况应经采购人审核合格后，方可上岗。无法满足上述要求的视为违约，采购人有权终止合同，成交供应商承担相关责任。</w:t>
            </w:r>
          </w:p>
          <w:p>
            <w:pPr>
              <w:pStyle w:val="null3"/>
            </w:pPr>
            <w:r>
              <w:rPr>
                <w:rFonts w:ascii="仿宋_GB2312" w:hAnsi="仿宋_GB2312" w:cs="仿宋_GB2312" w:eastAsia="仿宋_GB2312"/>
              </w:rPr>
              <w:t>5.供应商提供的服务工作人员必须服从统一安排、 日常管理和工作考核。</w:t>
            </w:r>
          </w:p>
          <w:p>
            <w:pPr>
              <w:pStyle w:val="null3"/>
            </w:pPr>
            <w:r>
              <w:rPr>
                <w:rFonts w:ascii="仿宋_GB2312" w:hAnsi="仿宋_GB2312" w:cs="仿宋_GB2312" w:eastAsia="仿宋_GB2312"/>
              </w:rPr>
              <w:t>6.供应商需保持服务人员稳定，如有人员变动需提前30日通知采购单位，经采购单位同意后更换人员。更换后人员学历、职称、职业资格等不低于原有人员。由于种种原因造成外包服务工作人员流失（辞职或取消服务外包工作资格）的，供应商应在 30 日内进行人员补充。</w:t>
            </w:r>
          </w:p>
          <w:p>
            <w:pPr>
              <w:pStyle w:val="null3"/>
            </w:pPr>
            <w:r>
              <w:rPr>
                <w:rFonts w:ascii="仿宋_GB2312" w:hAnsi="仿宋_GB2312" w:cs="仿宋_GB2312" w:eastAsia="仿宋_GB2312"/>
              </w:rPr>
              <w:t>7.供应商须确保服务人员身份证、照片、户口簿、学历学位证书、相关职业资格证书等材料真实性，因材料造假造成的问题，由供应商承担。</w:t>
            </w:r>
          </w:p>
          <w:p>
            <w:pPr>
              <w:pStyle w:val="null3"/>
            </w:pPr>
            <w:r>
              <w:rPr>
                <w:rFonts w:ascii="仿宋_GB2312" w:hAnsi="仿宋_GB2312" w:cs="仿宋_GB2312" w:eastAsia="仿宋_GB2312"/>
              </w:rPr>
              <w:t>8.非采购单位原因出现服务人员缺勤的，相应费用在结算时将予以扣除。</w:t>
            </w:r>
          </w:p>
          <w:p>
            <w:pPr>
              <w:pStyle w:val="null3"/>
            </w:pPr>
            <w:r>
              <w:rPr>
                <w:rFonts w:ascii="仿宋_GB2312" w:hAnsi="仿宋_GB2312" w:cs="仿宋_GB2312" w:eastAsia="仿宋_GB2312"/>
              </w:rPr>
              <w:t>9.服务人员在工作现场出现工伤事故，采购人送院处理并通知供应商。供应商负责其它善后处理、工伤上报、工伤索赔等工作。</w:t>
            </w:r>
          </w:p>
          <w:p>
            <w:pPr>
              <w:pStyle w:val="null3"/>
            </w:pPr>
            <w:r>
              <w:rPr>
                <w:rFonts w:ascii="仿宋_GB2312" w:hAnsi="仿宋_GB2312" w:cs="仿宋_GB2312" w:eastAsia="仿宋_GB2312"/>
              </w:rPr>
              <w:t>10、本项目不得转包、分包。</w:t>
            </w:r>
          </w:p>
          <w:p>
            <w:pPr>
              <w:pStyle w:val="null3"/>
            </w:pPr>
            <w:r>
              <w:rPr>
                <w:rFonts w:ascii="仿宋_GB2312" w:hAnsi="仿宋_GB2312" w:cs="仿宋_GB2312" w:eastAsia="仿宋_GB2312"/>
                <w:b/>
              </w:rPr>
              <w:t>四、商务要求（如服务期限、款项结算等）</w:t>
            </w:r>
          </w:p>
          <w:p>
            <w:pPr>
              <w:pStyle w:val="null3"/>
            </w:pPr>
            <w:r>
              <w:rPr>
                <w:rFonts w:ascii="仿宋_GB2312" w:hAnsi="仿宋_GB2312" w:cs="仿宋_GB2312" w:eastAsia="仿宋_GB2312"/>
              </w:rPr>
              <w:t>1、服务期限：自合同签订之日起1年。</w:t>
            </w:r>
          </w:p>
          <w:p>
            <w:pPr>
              <w:pStyle w:val="null3"/>
            </w:pPr>
            <w:r>
              <w:rPr>
                <w:rFonts w:ascii="仿宋_GB2312" w:hAnsi="仿宋_GB2312" w:cs="仿宋_GB2312" w:eastAsia="仿宋_GB2312"/>
              </w:rPr>
              <w:t>2、款项结算：合同签订后，达到付款条件，15个工作日内，支付50%预付款；项目验收合格且乙方提供所供服务所有费用有关票据决算完成后据实结算剩余价款。结算金额不超过合同总金额。</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按采购人及招标文件要求、本项目服务合同进行验收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进度款，项目验收合格且乙方提供所供服务所有费用有关票据决算项目验收合格且乙方提供所供服务所有费用有关票据决算，达到付款条件起15个工作日内，支付合同总金额的50.0%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1.合同一方不履行合同义务或者履行合同义务不符合约定的，应当承担继续履行、采取补救措施或者赔偿损失等违约责任。 2.在合同期限内，乙方未按照合同约定如期提供服务或者提供服务人员不符合合同要求及法律法规等要求或者未按甲方要求更换人员或者有其他违约行为，乙方应向甲方支付当年度合同总额10%的违约金，如造成甲方损失超过违约金的，超过部分由乙方承担。 3.在合同期限内，如因国家相关政策变化等原因，造成项目中途变更、停止或安全生产考试服务取消等情况，由甲乙双方协商解决。 4.乙方违反保密条款的，甲方有权解除本合同，并要求乙方支付合同总价款20%的违约金。造成甲方经济损失的，乙方应当承担全部赔偿责任。 5.乙方将本合同服务分包、转包第三方承担的，甲方有权解除本合同，并要求乙方支付本合同总价款20%的违约金。造成甲方经济损失的，乙方应当承担全部赔偿责任。 6.本合同中各条款约定的违约金可自甲方未支付款项中直接扣除，违约金若不能弥补甲方损失的，乙方还应赔偿甲方损失。 7.乙方违约或因乙方原因造成甲方损失的，乙方除承担本合同约定的违约责任外，还应赔偿甲方全部损失，包括但不限于直接损失、间接损失、诉讼费、律师费、鉴定费、保全费、保全担保费、评估费、公告费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3.5.1安全责任:乙方应对其工作人员在项目实施期间的一切行为负责，如安全事故责任及因此发生的人身损害赔偿和其它费用由乙方承担； 3.5.2保密条款:(1)中标单位应严格遵守采购单位有关保密规定，不得泄漏一切机密;(2)在服务期间，中标单位对接触到的有关采购单位商业活动、技术情报和技术资料等文件进行保密； 3.5.3投标人在编制（响应文件格式-标的清单）时按以下要求进行填写：3.5.4服务范围：西安市安全生产资格考试基地运维保障项目招标文件及采购人要求范围；3.5.5服务要求：符合招标文件有关技术、商务要求；3.5.6服务标准：符合国家和省、市有关行业标准及采购人的有关规定。3.5.7因陕西政府采购网电子化流程编制支付约定时无法满足本项目所要求付款方式，本章3.3.5(支付约定)为满足系统功能必填内容，不作参考，实际支付方式以采购文件第三章3.2.2中“技术参数与性能指标--商务要求--款项结算”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其他附件.投标文件格式.docx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其他附件.投标文件格式.docx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其他附件.投标文件格式.docx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其他附件.投标文件格式.docx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其他附件.投标文件格式.docx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提供开标截止时间前1年内任意一个月的税收缴纳证明（时间以税款所属日期为准)，依法免税的单位应提供相关证明材料；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其他附件.投标文件格式.docx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提供开标截止时间前1年内任意一个月的社会保障资金缴存单据或社保机构开具的社会保险参保缴费情况证明，依法不需要缴纳社会保障资金的单位应提供相关证明材料；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其他附件.投标文件格式.docx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其他附件.投标文件格式.docx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其他附件.投标文件格式.docx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其他附件.投标文件格式.docx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法定代表人授权委托书、被授权人身份证(法定代表人参加开标时,只需提供法定代表人身份证；被授权人参加开标时，需提供开标截止时间前三个月至少一个月的基本养老保险参保缴费证明）。</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其他附件.投标文件格式.docx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投标文件的签署、盖章符合招标文件要求，投标人递交的投标文件与本项目名称一致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文件递交截止之日起90天</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区间分值0-24分 评审标准细化内容：提供项目整体服务方案，包括：①服务内容②服务目标③服务交接和过渡方案④保密承诺及措施⑤服务计划⑥档案资料管理和移交工作制度。 评审标准量化内容： 前述要求的内容均有描述且符合本项目要求的得24分；每缺少一个内容扣4分，扣完为止；每有一项内容有一处缺陷的(缺陷是指：对同一问题前后表述矛盾的，或逻辑欠缺的，或缺少关键节点，或涉及的规范及标准不准确，或表述内容不完整，或不利于项目实施、不可能实现的情形等任意一种情形)，一处扣0.1分，扣完为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其他附件.投标文件格式.docx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区间分值0-16分 评审标准细化内容：投标人根据本项目提供内部管理制度，包括：①人员管理制度②安全管理制度和保密制度③本次服务管理人员与采购人工作配合方案④工作人员意外事故处理预案。 评审标准量化内容： 前述要求的内容均有描述且符合本项目要求的得16分；每缺少一个内容扣4分，扣完为止；每有一项内容有一处缺陷的(缺陷是指：对同一问题前后表述矛盾的，或逻辑欠缺的，或缺少关键节点，或涉及的规范及标准不准确，或表述内容不完整，或不利于项目实施、不可能实现的情形等任意一种情形)，一处扣0.1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其他附件.投标文件格式.docx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 年龄45岁以下得1分，提供身份证扫描件加盖公章； 具备本科及以上学历得2分，提供学历证书扫描件加盖公章； 近3年担任过考试组织运维保障项目负责人，提供1份证明材料得1分，最多得5分。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其他附件.投标文件格式.docx</w:t>
            </w:r>
          </w:p>
        </w:tc>
      </w:tr>
      <w:tr>
        <w:tc>
          <w:tcPr>
            <w:tcW w:type="dxa" w:w="831"/>
            <w:vMerge/>
          </w:tcPr>
          <w:p/>
        </w:tc>
        <w:tc>
          <w:tcPr>
            <w:tcW w:type="dxa" w:w="1661"/>
          </w:tcPr>
          <w:p>
            <w:pPr>
              <w:pStyle w:val="null3"/>
            </w:pPr>
            <w:r>
              <w:rPr>
                <w:rFonts w:ascii="仿宋_GB2312" w:hAnsi="仿宋_GB2312" w:cs="仿宋_GB2312" w:eastAsia="仿宋_GB2312"/>
              </w:rPr>
              <w:t>安全保密承诺</w:t>
            </w:r>
          </w:p>
        </w:tc>
        <w:tc>
          <w:tcPr>
            <w:tcW w:type="dxa" w:w="2492"/>
          </w:tcPr>
          <w:p>
            <w:pPr>
              <w:pStyle w:val="null3"/>
            </w:pPr>
            <w:r>
              <w:rPr>
                <w:rFonts w:ascii="仿宋_GB2312" w:hAnsi="仿宋_GB2312" w:cs="仿宋_GB2312" w:eastAsia="仿宋_GB2312"/>
              </w:rPr>
              <w:t>①投标人具备国家认证的保密室得3分，提供有效的保密室合格证扫描件加盖公章； ②近3年投标人在考试组织中无违规行为，提供无考试组织违规承诺函得2分。 ③投标人提供安全保密保障承诺得2分。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其他附件.投标文件格式.docx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人员配置： ①主考官满足招标文件要求且具有相关专业高级及以上职称得5分，中级职称得3分；本科及以上学历得2分，提供职称证及学历证书扫描件加盖公章；②考评人员中每具有1个大专及以上学历人员得1分，最高得8分，提供学历证书扫描件加盖公章；③考试系统管理人员2人，每具有1个年龄40岁以下本科及以上学历得2分，最多得4分，提供身份证及学历证书扫描件加盖公章；④安全技术实际操作考试设备、消防设备维护人员具备年龄50岁以下专科及以上学历得1分，提供身份证及学历证书扫描件加盖公章。 不满足不得分。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其他附件.投标文件格式.docx</w:t>
            </w:r>
          </w:p>
        </w:tc>
      </w:tr>
      <w:tr>
        <w:tc>
          <w:tcPr>
            <w:tcW w:type="dxa" w:w="831"/>
            <w:vMerge/>
          </w:tcPr>
          <w:p/>
        </w:tc>
        <w:tc>
          <w:tcPr>
            <w:tcW w:type="dxa" w:w="1661"/>
          </w:tcPr>
          <w:p>
            <w:pPr>
              <w:pStyle w:val="null3"/>
            </w:pPr>
            <w:r>
              <w:rPr>
                <w:rFonts w:ascii="仿宋_GB2312" w:hAnsi="仿宋_GB2312" w:cs="仿宋_GB2312" w:eastAsia="仿宋_GB2312"/>
              </w:rPr>
              <w:t>类似项目经验</w:t>
            </w:r>
          </w:p>
        </w:tc>
        <w:tc>
          <w:tcPr>
            <w:tcW w:type="dxa" w:w="2492"/>
          </w:tcPr>
          <w:p>
            <w:pPr>
              <w:pStyle w:val="null3"/>
            </w:pPr>
            <w:r>
              <w:rPr>
                <w:rFonts w:ascii="仿宋_GB2312" w:hAnsi="仿宋_GB2312" w:cs="仿宋_GB2312" w:eastAsia="仿宋_GB2312"/>
              </w:rPr>
              <w:t>投标人提供2023年1月1日至今类似项目业绩合同（以合同签订时间为准），一个业绩得5分，最高得15分；评审依据：提供合同复扫描件并加盖投标人公章。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其他附件.投标文件格式.docx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其他附件.投标文件格式.docx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即满足招标文件要求且投标报价最低的报价为评标基准价，其价格分为满分。其他投标人的价格分统一按照下列公式计算：投标报价得分=(评标基准价／投标报价)×价格权值×100，计算分数时四舍五入取小数点后两位，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详见附件：其他附件.投标文件格式.docx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详见附件：1合同文本模板.docx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