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版本号：ZBZG2026-00188-1.1B120260817001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医务楼、严管楼卫生间维修项目(二次)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ZBZG2026-00188-1.1B1</w:t>
      </w:r>
      <w:r>
        <w:br/>
      </w:r>
      <w:r>
        <w:br/>
      </w:r>
      <w:r>
        <w:br/>
      </w:r>
    </w:p>
    <w:p>
      <w:pPr>
        <w:pStyle w:val="null3"/>
        <w:jc w:val="center"/>
        <w:outlineLvl w:val="2"/>
      </w:pPr>
      <w:r>
        <w:rPr>
          <w:rFonts w:ascii="仿宋_GB2312" w:hAnsi="仿宋_GB2312" w:cs="仿宋_GB2312" w:eastAsia="仿宋_GB2312"/>
          <w:sz w:val="28"/>
          <w:b/>
        </w:rPr>
        <w:t>陕西省女子监狱</w:t>
      </w:r>
    </w:p>
    <w:p>
      <w:pPr>
        <w:pStyle w:val="null3"/>
        <w:jc w:val="center"/>
        <w:outlineLvl w:val="2"/>
      </w:pPr>
      <w:r>
        <w:rPr>
          <w:rFonts w:ascii="仿宋_GB2312" w:hAnsi="仿宋_GB2312" w:cs="仿宋_GB2312" w:eastAsia="仿宋_GB2312"/>
          <w:sz w:val="28"/>
          <w:b/>
        </w:rPr>
        <w:t>信宇腾远工程咨询集团有限公司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信宇腾远工程咨询集团有限公司</w:t>
      </w:r>
      <w:r>
        <w:rPr>
          <w:rFonts w:ascii="仿宋_GB2312" w:hAnsi="仿宋_GB2312" w:cs="仿宋_GB2312" w:eastAsia="仿宋_GB2312"/>
        </w:rPr>
        <w:t>（以下简称“代理机构”）受</w:t>
      </w:r>
      <w:r>
        <w:rPr>
          <w:rFonts w:ascii="仿宋_GB2312" w:hAnsi="仿宋_GB2312" w:cs="仿宋_GB2312" w:eastAsia="仿宋_GB2312"/>
        </w:rPr>
        <w:t>陕西省女子监狱</w:t>
      </w:r>
      <w:r>
        <w:rPr>
          <w:rFonts w:ascii="仿宋_GB2312" w:hAnsi="仿宋_GB2312" w:cs="仿宋_GB2312" w:eastAsia="仿宋_GB2312"/>
        </w:rPr>
        <w:t>委托，拟对</w:t>
      </w:r>
      <w:r>
        <w:rPr>
          <w:rFonts w:ascii="仿宋_GB2312" w:hAnsi="仿宋_GB2312" w:cs="仿宋_GB2312" w:eastAsia="仿宋_GB2312"/>
        </w:rPr>
        <w:t>医务楼、严管楼卫生间维修项目(二次)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ZBZG2026-00188-1.1B1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医务楼、严管楼卫生间维修项目(二次)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医务楼、严管楼卫生间维修项目 ，地址位于陕西省女子监狱内。本次内装饰专业设计范围包括医务楼二层、三层卫生间改造及严管楼一层、二层、三层卫生间改造具体给排水、 电气线路及墙面、地面、顶面等建筑装饰内容拆除；墙面、地面、顶面等建筑装饰及配套安装专业局部改造；照明灯具、开关插座及线路利旧恢复。具体改造内容详见设计图纸和工程量清单。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采购包1（医务楼、严管楼卫生间维修工程）：属于专门面向中小企业采购。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1、法定代表⼈授权书：法定代表⼈授权书及被授权⼈⾝份证明。（法定代表⼈直接投标只须提供其⾝份证明）</w:t>
      </w:r>
    </w:p>
    <w:p>
      <w:pPr>
        <w:pStyle w:val="null3"/>
      </w:pPr>
      <w:r>
        <w:rPr>
          <w:rFonts w:ascii="仿宋_GB2312" w:hAnsi="仿宋_GB2312" w:cs="仿宋_GB2312" w:eastAsia="仿宋_GB2312"/>
        </w:rPr>
        <w:t>2、供应商资质：供应商具备建筑⾏政主管部⻔颁发的有效的建筑⼯程施⼯总承包叁级以上（含叁级）资质或建筑装修装饰⼯程专业承包⼆级及以上资质，且具有有效的安全⽣产许可证；供应商在“陕西省住房和城乡建设厅”官⽅⽹站可查询。（查询截图）</w:t>
      </w:r>
    </w:p>
    <w:p>
      <w:pPr>
        <w:pStyle w:val="null3"/>
      </w:pPr>
      <w:r>
        <w:rPr>
          <w:rFonts w:ascii="仿宋_GB2312" w:hAnsi="仿宋_GB2312" w:cs="仿宋_GB2312" w:eastAsia="仿宋_GB2312"/>
        </w:rPr>
        <w:t>3、项⽬经理资格：项⽬经理须提供建筑⼯程专业⼆级以上（含⼆级）注册建造师，具备有效的安全⽣产考核合格证，在本单位注册，且⽆在建⼯程（承诺书）；拟派项⽬经理在“陕西省住房和城乡建设厅”官⽅⽹站可查询（查询截图） 。</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陕西省女子监狱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陕西省西安市⻓安区引镇陕西秦星服饰有限公司</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郭永锋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029-85881020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信宇腾远工程咨询集团有限公司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陕西省西安市雁塔区曲江新区雁展路1111号莱安中⼼T3-16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18629048076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采购包1：563,300.00元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代理服务费收费标准：以中标成交⾦额作为计算基数，由中标(成交)供应商，在领取《中标/成交通知书》前，⼀次性向代理机构⽀付。代理服务费参照国家相关收费标准下浮12%计取。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陕西省女子监狱</w:t>
      </w:r>
      <w:r>
        <w:rPr>
          <w:rFonts w:ascii="仿宋_GB2312" w:hAnsi="仿宋_GB2312" w:cs="仿宋_GB2312" w:eastAsia="仿宋_GB2312"/>
        </w:rPr>
        <w:t>和</w:t>
      </w:r>
      <w:r>
        <w:rPr>
          <w:rFonts w:ascii="仿宋_GB2312" w:hAnsi="仿宋_GB2312" w:cs="仿宋_GB2312" w:eastAsia="仿宋_GB2312"/>
        </w:rPr>
        <w:t>信宇腾远工程咨询集团有限公司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陕西省女子监狱</w:t>
      </w:r>
      <w:r>
        <w:rPr>
          <w:rFonts w:ascii="仿宋_GB2312" w:hAnsi="仿宋_GB2312" w:cs="仿宋_GB2312" w:eastAsia="仿宋_GB2312"/>
        </w:rPr>
        <w:t>负责解释。除上述磋商文件内容，其他内容由</w:t>
      </w:r>
      <w:r>
        <w:rPr>
          <w:rFonts w:ascii="仿宋_GB2312" w:hAnsi="仿宋_GB2312" w:cs="仿宋_GB2312" w:eastAsia="仿宋_GB2312"/>
        </w:rPr>
        <w:t>信宇腾远工程咨询集团有限公司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陕西省女子监狱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信宇腾远工程咨询集团有限公司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供应商应在本项⽬投标⽂件中明确列明所采⽤的⾃有及第三⽅知识成果清单。对于供应商⾃有的背景知识产权，供应商须授予采购⼈⼀项永久的、免费的、不可撤销的、⾮独占的使⽤权，以确保采购⼈可对交付标的进⾏正常使⽤、维护及⼆次开发；对于第三⽅知识产权，供应商须确保其已取得合法授权，且该授权允许随本项⽬交付物⼀并转移给采购⼈使⽤，相关费⽤已包含在投标报价中。项⽬实施过程中产⽣的与采购需求直接相关的成果知识产权归采购⼈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由采购人组织设计、施工、监理单位进行工程质量实体验收。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联系人：王琢</w:t>
      </w:r>
    </w:p>
    <w:p>
      <w:pPr>
        <w:pStyle w:val="null3"/>
      </w:pPr>
      <w:r>
        <w:rPr>
          <w:rFonts w:ascii="仿宋_GB2312" w:hAnsi="仿宋_GB2312" w:cs="仿宋_GB2312" w:eastAsia="仿宋_GB2312"/>
        </w:rPr>
        <w:t>联系电话：029-87834977</w:t>
      </w:r>
    </w:p>
    <w:p>
      <w:pPr>
        <w:pStyle w:val="null3"/>
      </w:pPr>
      <w:r>
        <w:rPr>
          <w:rFonts w:ascii="仿宋_GB2312" w:hAnsi="仿宋_GB2312" w:cs="仿宋_GB2312" w:eastAsia="仿宋_GB2312"/>
        </w:rPr>
        <w:t>地址： 西安市雁塔区曲江新区雁展路1111号莱安中⼼T3-16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563,300.00</w:t>
      </w:r>
    </w:p>
    <w:p>
      <w:pPr>
        <w:pStyle w:val="null3"/>
      </w:pPr>
      <w:r>
        <w:rPr>
          <w:rFonts w:ascii="仿宋_GB2312" w:hAnsi="仿宋_GB2312" w:cs="仿宋_GB2312" w:eastAsia="仿宋_GB2312"/>
        </w:rPr>
        <w:t>采购包最高限价（元）: 563,239.14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医务楼，严管楼卫生间维修项目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563,300.00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标的名称：医务楼，严管楼卫生间维修项目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 xml:space="preserve">     医务楼、严管楼卫生间维修项目 ，地址位于陕西省女子监狱内 。本次内装饰专业设计范围包括医务楼二层、三层卫生间改造及严 管楼一层、二层、三层卫生间改造具体给排水、 电气线路及墙面 、地面、顶面等建筑装饰内容拆除；墙面、地面、顶面等建筑装饰 及配套安装专业局部改造；照明灯具、开关插座及线路利旧恢复 。具体改造内容详见设计图纸和工程量清单。</w:t>
            </w:r>
          </w:p>
          <w:p>
            <w:pPr>
              <w:pStyle w:val="null3"/>
            </w:pPr>
            <w:r>
              <w:rPr>
                <w:rFonts w:ascii="仿宋_GB2312" w:hAnsi="仿宋_GB2312" w:cs="仿宋_GB2312" w:eastAsia="仿宋_GB2312"/>
              </w:rPr>
              <w:t>二、编制依据 ：</w:t>
            </w:r>
          </w:p>
          <w:p>
            <w:pPr>
              <w:pStyle w:val="null3"/>
            </w:pPr>
            <w:r>
              <w:rPr>
                <w:rFonts w:ascii="仿宋_GB2312" w:hAnsi="仿宋_GB2312" w:cs="仿宋_GB2312" w:eastAsia="仿宋_GB2312"/>
              </w:rPr>
              <w:t>1、医务楼、严管楼卫生间维修项目设计图纸、 图纸答疑、技术要 求文件等；</w:t>
            </w:r>
          </w:p>
          <w:p>
            <w:pPr>
              <w:pStyle w:val="null3"/>
            </w:pPr>
            <w:r>
              <w:rPr>
                <w:rFonts w:ascii="仿宋_GB2312" w:hAnsi="仿宋_GB2312" w:cs="仿宋_GB2312" w:eastAsia="仿宋_GB2312"/>
              </w:rPr>
              <w:t>2、依据《关于印发 2025 陕西省建设工程费用规则等计价依据 的通知》 （陕建管发〔2025〕 10号）、 陕西省工程建设标准 《建设工程工程量清单 计价标准》（2025）、 陕西省工程建设 标准《房屋建筑与装修工程工程量 清单计价标准》（2025）、 《市政工程工程量计算标准》（2025）、 《通用安装工程工程 量计算标准》（2025）、《园林绿化工程工程量计算标准》 （ 2025）、《陕西省建设工程费用规则》（2025）、《陕西省房 屋建筑与 装修工程消耗量定额》（2025）《陕西省市政工程消 耗量定额》（2025）、 《陕西省通用安装工程消耗量定额》（ 2025）、《陕西省园林绿化工程消耗量定额》（2025）、《陕 西省房屋建筑与装修工程基价表》（2025）《陕西省市政工程 基价表》（2025）、《陕西省园林绿化工程基价表》（2025） 、 《陕西省通用安装工程基价表》（上、下册）（2025）、《 陕西省建设工程施工机械台班费用定额》（2025）、《陕西省 建设工程施工仪器仪表台 班费用定额》（2025）及其配套的费 用定额勘误和补充等相关文件等；</w:t>
            </w:r>
          </w:p>
          <w:p>
            <w:pPr>
              <w:pStyle w:val="null3"/>
            </w:pPr>
            <w:r>
              <w:rPr>
                <w:rFonts w:ascii="仿宋_GB2312" w:hAnsi="仿宋_GB2312" w:cs="仿宋_GB2312" w:eastAsia="仿宋_GB2312"/>
              </w:rPr>
              <w:t>3、参考建设工程项目有关的标准、规范、技术资料等；</w:t>
            </w:r>
          </w:p>
          <w:p>
            <w:pPr>
              <w:pStyle w:val="null3"/>
            </w:pPr>
            <w:r>
              <w:rPr>
                <w:rFonts w:ascii="仿宋_GB2312" w:hAnsi="仿宋_GB2312" w:cs="仿宋_GB2312" w:eastAsia="仿宋_GB2312"/>
              </w:rPr>
              <w:t>4、人工工日单价和机械台班单价， 均不包括动态调整部分， 编 制投标 报价时投标人自主确定；</w:t>
            </w:r>
          </w:p>
          <w:p>
            <w:pPr>
              <w:pStyle w:val="null3"/>
            </w:pPr>
            <w:r>
              <w:rPr>
                <w:rFonts w:ascii="仿宋_GB2312" w:hAnsi="仿宋_GB2312" w:cs="仿宋_GB2312" w:eastAsia="仿宋_GB2312"/>
              </w:rPr>
              <w:t>5、材料价格按市场价计入；</w:t>
            </w:r>
          </w:p>
          <w:p>
            <w:pPr>
              <w:pStyle w:val="null3"/>
            </w:pPr>
            <w:r>
              <w:rPr>
                <w:rFonts w:ascii="仿宋_GB2312" w:hAnsi="仿宋_GB2312" w:cs="仿宋_GB2312" w:eastAsia="仿宋_GB2312"/>
              </w:rPr>
              <w:t>6、施工现场情况、工程特点及合理施工方案、合理工期等进行 编制；</w:t>
            </w:r>
          </w:p>
          <w:p>
            <w:pPr>
              <w:pStyle w:val="null3"/>
            </w:pPr>
            <w:r>
              <w:rPr>
                <w:rFonts w:ascii="仿宋_GB2312" w:hAnsi="仿宋_GB2312" w:cs="仿宋_GB2312" w:eastAsia="仿宋_GB2312"/>
              </w:rPr>
              <w:t>7、劳保统筹按规定计入工程造价；</w:t>
            </w:r>
          </w:p>
          <w:p>
            <w:pPr>
              <w:pStyle w:val="null3"/>
            </w:pPr>
            <w:r>
              <w:rPr>
                <w:rFonts w:ascii="仿宋_GB2312" w:hAnsi="仿宋_GB2312" w:cs="仿宋_GB2312" w:eastAsia="仿宋_GB2312"/>
              </w:rPr>
              <w:t>8、编制软件采用广联达云计价平台 GCCP7.0，版本 7.5000.23.2 。</w:t>
            </w:r>
          </w:p>
          <w:p>
            <w:pPr>
              <w:pStyle w:val="null3"/>
            </w:pPr>
            <w:r>
              <w:rPr>
                <w:rFonts w:ascii="仿宋_GB2312" w:hAnsi="仿宋_GB2312" w:cs="仿宋_GB2312" w:eastAsia="仿宋_GB2312"/>
              </w:rPr>
              <w:t>三、编制说明：</w:t>
            </w:r>
          </w:p>
          <w:p>
            <w:pPr>
              <w:pStyle w:val="null3"/>
            </w:pPr>
            <w:r>
              <w:rPr>
                <w:rFonts w:ascii="仿宋_GB2312" w:hAnsi="仿宋_GB2312" w:cs="仿宋_GB2312" w:eastAsia="仿宋_GB2312"/>
              </w:rPr>
              <w:t>1、请投标人结合设计图纸、工程量清单、施工规范等综合报价 ；措施费按规范自行报价， 包括但不限于脚手架、成品保护等 。</w:t>
            </w:r>
          </w:p>
          <w:p>
            <w:pPr>
              <w:pStyle w:val="null3"/>
            </w:pPr>
            <w:r>
              <w:rPr>
                <w:rFonts w:ascii="仿宋_GB2312" w:hAnsi="仿宋_GB2312" w:cs="仿宋_GB2312" w:eastAsia="仿宋_GB2312"/>
              </w:rPr>
              <w:t>四、其他需说明事项：</w:t>
            </w:r>
          </w:p>
          <w:p>
            <w:pPr>
              <w:pStyle w:val="null3"/>
            </w:pPr>
            <w:r>
              <w:rPr>
                <w:rFonts w:ascii="仿宋_GB2312" w:hAnsi="仿宋_GB2312" w:cs="仿宋_GB2312" w:eastAsia="仿宋_GB2312"/>
              </w:rPr>
              <w:t>本项目暂列金额：14300.00元</w:t>
            </w:r>
          </w:p>
          <w:p>
            <w:pPr>
              <w:pStyle w:val="null3"/>
            </w:pPr>
            <w:r>
              <w:rPr>
                <w:rFonts w:ascii="仿宋_GB2312" w:hAnsi="仿宋_GB2312" w:cs="仿宋_GB2312" w:eastAsia="仿宋_GB2312"/>
              </w:rPr>
              <w:t>五、其他要求:</w:t>
            </w:r>
          </w:p>
          <w:p>
            <w:pPr>
              <w:pStyle w:val="null3"/>
            </w:pPr>
            <w:r>
              <w:rPr>
                <w:rFonts w:ascii="仿宋_GB2312" w:hAnsi="仿宋_GB2312" w:cs="仿宋_GB2312" w:eastAsia="仿宋_GB2312"/>
              </w:rPr>
              <w:t>（1）付款⽅式：合同签订后进场施工15⽇内⽀付合同价款的50%；⼯程竣⼯验收合格后累计付 ⾄合同价款的85%；⼯程审计结束后累计⽀付⾄审计价款的97%；余3%作为质保⾦， 在甲⽅认可的前提下，质保期满后⼀次性付清余款（质保⾦不计利息）。 （2）⼯期：60天 （3）质量要求：符合⼯程质量验收标准规定，验收合格。 （4） 质量保修期：⾃⼯程验收合格之⽇起，防⽔部分5年，其他部分2年。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（1）本工程选用的吊顶材料的燃烧性能均应符合《建筑室内装修设计防火规范》GB50222、《建筑防火通用规范》 （GB55037-2022）的要求。 （2）轻钢龙骨的性能应符合国家标准《建筑用轻钢龙骨》（GB/T11981）的规定。 （3）质量验收标准： 《建筑装饰装修工程质量验收标准》 (GB50210-2018) 《民用建筑工程室内环境污染控制规范》（GB50325- 2020) 《建筑内部装修设计防火规范》（GB50222-2017） 《电气装置安装工程施工及验收规范》（GB50254-50259-96) 《建筑工程施工质量验收统一标准》（GB50300-2013）。</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 内部装修防水设计标准 （1）适用于卫生间， 淋浴间等有防水需求的墙地面部位； （2）防水涂料：防水层为 1.5mm厚聚氨酯防水涂膜二道和1.2mm丙纶布; （3）有防水要求的楼地面应设排水坡， 并应坡向地漏或排水设施， 排水坡度不应小于1.0%; （4）用水空间与非用水空间楼地面交接处应有防止水流入非用水房间的措施; （5）室内工程的防水构造设计应符合下列规定: 地漏的管道根部应采取密封防水措施：穿过楼板或墙体的管道套管与管道间应采用防水密封材料嵌填压实;穿过楼板的防水套管应高出装饰层完成面， 且高度不应小于20mm; 室内需进行防水设防的区域不应跨越变形缝等可能出现较大变形的部位； 防水做法为2道， 涂膜应均匀， 且不应起鼓;涂刷防水涂料的阴阳角部位应做成圆弧状或进行倒角处理; 防水层完成后应进行淋水、蓄水试验， 楼、地面最小蓄水高度不应小于20mm， 蓄水时间不应少于24h有防水要求的墙面应进行淋水试验淋水时间不应小于30min， 室内工程厕浴间楼地面防水层和饰面层完成后， 均应进行蓄水试验。包立管处， 建议做完防水再包立管， 后再补做一次防水， 如不破坏地面防水层， 可免做闭水实验。应在防水层验收合格后进行下一道工序的施工; 防水工程施工应配备相应的防护用品工程中采用的防水材料最小厚度、性能指标应符合《建筑与市政工程防水通用规 范》GB55030-2022等关视范的要求。 （6）卫生间地面应比同层其他房间、走廊的楼地面标高低20mm； （7）卫生间墙根部应用C20凝土现浇200mm高条带。 （8）贴卫生间墙面应在相邻墙体的迎水面作防潮处理。做法为15mm厚惨防水剂的防水砂浆。 2、装饰材料及施工说明 （1）地面、墙面工程 凡有给排水设备或水浸入地面， 建筑施工图中未注明的均做防水处理， 并按不应小于1%排水坡度向地漏方向找坡， 若建筑图已明确要求的， 以建筑施工图纸为准； （2）不同楼地面材料-第15页-做法的交接处(未作明确高低差处)， 如发生高度不等现象时， 依据施工实际情况， 适当调整垫层厚度； （3）瓷砖， 普通区域 地砖为通体砖、全瓷砖， 吸水率应低于0.5%， 性能应符合国家标准《陶瓷砖》GB/T4100-2015， 有水房间(如卫生间、淋浴间)等采用防滑型陶瓷地砖， 规格为300*300规格，颜色以实际选样为准； （4）公共卫生间隔断为成品隔断，颜色以选样为准， 配套不锈钢五金件。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1.合同单价以磋商最终报价与⼀次报价的下浮⽐例，对所有单价进⾏同⽐例下浮，以下浮后的价格作为合同执⾏单价。2.⼯期：60天。 3.质量要求：符合⼯程质量验收标准规定，验收合格。 4. 质量保修期：⾃⼯程验收合格之⽇起，防⽔部分5年，其他部分2年。 5.⼯程量清单与实际不符时，以实际发⽣⼯程量为准。 6.成交供应商在成交公告发布后提供3套纸质投标⽂件（1正2副），纸质版投标⽂件应与线上电⼦投标⽂件保持⼀致并加盖公章。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（1)供应商具有独⽴承担⺠事责任能⼒的法⼈、其他组织或⾃然⼈，并出具合法有效的营业执照或事业单位法⼈证书等国家规定的相关证明，⾃然⼈参与的提供其⾝份证明。 (2)提供2024或2025年度经审计的财务报告（包括：“四表⼀注”即资产负债表、利润表、现⾦流量表、所有者权益变动表及其附注，成⽴时间⾄提交投标⽂件截⽌时间不⾜⼀年的可提供成⽴后任意时段的资产负债表或其开标前六个⽉内银⾏出具的资信证明。（以上两种形式的资料提供任何⼀种即可）。(3)提供2025年6⽉⾄今已缴存的⾄少⼀个⽉的依法缴纳税款的相关凭据（时间以税款所属⽇期为准），凭据应有税务机关或代收机关的公章或业务专⽤章。依法免税或⽆须缴纳税款的供应商，应提供相应证明文件。(4)提供2025年6⽉⾄今已缴存的⾄少⼀个⽉的社会保障资⾦缴存单据或社保机构开具的社会保险参保缴费情况证明，依法不需要缴纳社会保障资⾦的单位应提供相关证明材料。 (5)参加本次政府采购活动前三年内在经营活动中没有重⼤违法记录，以及未被列⼊“信⽤中国”失信被执⾏⼈、重⼤税收违法失信主体、未列⼊政府采购严重违法失信⾏为记录名单的书⾯声明。(6)提供具有履⾏合同所必需的设备和专业技术能⼒的承诺函。</w:t>
            </w:r>
          </w:p>
        </w:tc>
        <w:tc>
          <w:tcPr>
            <w:tcW w:type="dxa" w:w="1661"/>
          </w:tcPr>
          <w:p>
            <w:pPr>
              <w:pStyle w:val="null3"/>
            </w:pPr>
            <w:r>
              <w:rPr>
                <w:rFonts w:ascii="仿宋_GB2312" w:hAnsi="仿宋_GB2312" w:cs="仿宋_GB2312" w:eastAsia="仿宋_GB2312"/>
              </w:rPr>
              <w:t>非联合体声明.docx 中小企业声明函 残疾人福利性单位声明函 法人授权委托书.docx 供应商应提交的相关资格证明材料 响应函 监狱企业的证明文件 强制优先采购产品承诺函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供应商参加政府采购活动承诺书.docx 非联合体声明.docx 承诺书.docx 响应函 资格证明资料.docx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供应商参加政府采购活动承诺书.docx 中小企业声明函 残疾人福利性单位声明函 陕西省政府采购供应商拒绝政府采购领域商业贿赂承诺书.docx 监狱企业的证明文件 强制优先采购产品承诺函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法定代表⼈授权书及被授权⼈⾝份证明。（法定代表⼈直接投标只须提供其⾝份证明）</w:t>
            </w:r>
          </w:p>
        </w:tc>
        <w:tc>
          <w:tcPr>
            <w:tcW w:type="dxa" w:w="1661"/>
          </w:tcPr>
          <w:p>
            <w:pPr>
              <w:pStyle w:val="null3"/>
            </w:pPr>
            <w:r>
              <w:rPr>
                <w:rFonts w:ascii="仿宋_GB2312" w:hAnsi="仿宋_GB2312" w:cs="仿宋_GB2312" w:eastAsia="仿宋_GB2312"/>
              </w:rPr>
              <w:t>法人授权委托书.docx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建筑⾏政主管部⻔颁发的有效的建筑⼯程施⼯总承包叁级以上（含叁级）资质或建筑装修装饰⼯程专业承包⼆级及以上资质，且具有有效的安全⽣产许可证；供应商在“陕西省住房和城乡建设厅”官⽅⽹站可查询。（查询截图）</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项⽬经理资格</w:t>
            </w:r>
          </w:p>
        </w:tc>
        <w:tc>
          <w:tcPr>
            <w:tcW w:type="dxa" w:w="3322"/>
          </w:tcPr>
          <w:p>
            <w:pPr>
              <w:pStyle w:val="null3"/>
            </w:pPr>
            <w:r>
              <w:rPr>
                <w:rFonts w:ascii="仿宋_GB2312" w:hAnsi="仿宋_GB2312" w:cs="仿宋_GB2312" w:eastAsia="仿宋_GB2312"/>
              </w:rPr>
              <w:t>项⽬经理须提供建筑⼯程专业⼆级以上（含⼆级）注册建造师，具备有效的安全⽣产考核合格证，在本单位注册，且⽆在建⼯程（承诺书）；拟派项⽬经理在“陕西省住房和城乡建设厅”官⽅⽹站可查询（查询截图） 。</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供应商名称与营业执照⼀致</w:t>
            </w:r>
          </w:p>
        </w:tc>
        <w:tc>
          <w:tcPr>
            <w:tcW w:type="dxa" w:w="3322"/>
          </w:tcPr>
          <w:p>
            <w:pPr>
              <w:pStyle w:val="null3"/>
            </w:pPr>
            <w:r>
              <w:rPr>
                <w:rFonts w:ascii="仿宋_GB2312" w:hAnsi="仿宋_GB2312" w:cs="仿宋_GB2312" w:eastAsia="仿宋_GB2312"/>
              </w:rPr>
              <w:t xml:space="preserve"> 供应商名称与营业执照⼀致</w:t>
            </w:r>
          </w:p>
        </w:tc>
        <w:tc>
          <w:tcPr>
            <w:tcW w:type="dxa" w:w="1661"/>
          </w:tcPr>
          <w:p>
            <w:pPr>
              <w:pStyle w:val="null3"/>
            </w:pPr>
            <w:r>
              <w:rPr>
                <w:rFonts w:ascii="仿宋_GB2312" w:hAnsi="仿宋_GB2312" w:cs="仿宋_GB2312" w:eastAsia="仿宋_GB2312"/>
              </w:rPr>
              <w:t>响应文件封面 法人授权委托书.docx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响应⽂件按磋商⽂件要求的数量、 计量单位、报价货币及签字盖章</w:t>
            </w:r>
          </w:p>
        </w:tc>
        <w:tc>
          <w:tcPr>
            <w:tcW w:type="dxa" w:w="3322"/>
          </w:tcPr>
          <w:p>
            <w:pPr>
              <w:pStyle w:val="null3"/>
            </w:pPr>
            <w:r>
              <w:rPr>
                <w:rFonts w:ascii="仿宋_GB2312" w:hAnsi="仿宋_GB2312" w:cs="仿宋_GB2312" w:eastAsia="仿宋_GB2312"/>
              </w:rPr>
              <w:t xml:space="preserve"> 响应⽂件按磋商⽂件要求的数量、计量单位、报价货币及签字盖章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响应⽂件的有效期达到磋商⽂件要求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 xml:space="preserve"> 响应⽂件的⼯期、质保期、付款⽅式等商务内容符合磋商⽂件要求</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符合法律、法规和磋商⽂件中规定 的其他实质性要求</w:t>
            </w:r>
          </w:p>
        </w:tc>
        <w:tc>
          <w:tcPr>
            <w:tcW w:type="dxa" w:w="3322"/>
          </w:tcPr>
          <w:p>
            <w:pPr>
              <w:pStyle w:val="null3"/>
            </w:pPr>
            <w:r>
              <w:rPr>
                <w:rFonts w:ascii="仿宋_GB2312" w:hAnsi="仿宋_GB2312" w:cs="仿宋_GB2312" w:eastAsia="仿宋_GB2312"/>
              </w:rPr>
              <w:t xml:space="preserve"> 符合法律、法规和磋商⽂件中规定的其他实质要求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本项⽬施⼯⽅案，包含：①施⼯概述②施⼯部署③施⼯⼯艺④施⼯⽅法⑤交叉施⼯措施。以上5项内容每⼀项内容全⾯详细、阐述条理清晰得3分，满分15分，每项存在⼀处缺陷，扣1分，扣完为⽌。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有符合本项⽬⼯程的质量管理⽬标和质量管理制度、主要⼯序的质量技术保证措施和⼿段。措施是否完备⻬全、先进、合理、切实可⾏。 1 .⽅案及措施内容完整详尽、科学合理、切实可⾏、针对性强，完全满⾜施⼯要求得4分；2.⽅案及措 施基本完整、较合理可⾏、针对性不强、基本满⾜施⼯要求得2分；3.⽅案及措施简单、不能完全满⾜施⼯要求得1分；4.未提供得0分。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有保证⼯期的技术措施、组织措施及施⼯进度安排。措施是否完备⻬全、先进、合理、切实可⾏。 1.⽅案及措施内容完整详尽、科学合理、切实可⾏、针对性强，完全满⾜施⼯要求得4分； 2.⽅案及措施基本完整、较合理可⾏、针对性不强、基本满⾜施⼯要求得2分；3.⽅案及措施简单、不能完全满⾜施⼯要求得1分；4.未提供得0分。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确保安全⽂明施⼯的 技术组织措施</w:t>
            </w:r>
          </w:p>
        </w:tc>
        <w:tc>
          <w:tcPr>
            <w:tcW w:type="dxa" w:w="2492"/>
          </w:tcPr>
          <w:p>
            <w:pPr>
              <w:pStyle w:val="null3"/>
            </w:pPr>
            <w:r>
              <w:rPr>
                <w:rFonts w:ascii="仿宋_GB2312" w:hAnsi="仿宋_GB2312" w:cs="仿宋_GB2312" w:eastAsia="仿宋_GB2312"/>
              </w:rPr>
              <w:t>有现场安全⽂明施⼯的措施，且措施周全、具体、有效。1.⽅案及措施内容完整详尽、科学合理、切实 可⾏、针对性强，完全满⾜施⼯要求得4分；2.⽅案及措施基本完整、较合理可⾏、针对性不强、基本满⾜施⼯要求得2分；3.⽅案及措施简单、不能完全满⾜施⼯要求得1分；4.未提供得0分。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确保⽂明施⼯的环境保护措施</w:t>
            </w:r>
          </w:p>
        </w:tc>
        <w:tc>
          <w:tcPr>
            <w:tcW w:type="dxa" w:w="2492"/>
          </w:tcPr>
          <w:p>
            <w:pPr>
              <w:pStyle w:val="null3"/>
            </w:pPr>
            <w:r>
              <w:rPr>
                <w:rFonts w:ascii="仿宋_GB2312" w:hAnsi="仿宋_GB2312" w:cs="仿宋_GB2312" w:eastAsia="仿宋_GB2312"/>
              </w:rPr>
              <w:t>有现场⽂件施⼯的环境保护措施，且措施周全、具体、有效。1.⽅案及措施内容完整详尽、科学合理、 切实可⾏、针对性强，完全满⾜施⼯要求得4分；2.⽅案及措施基本完整、较合理可⾏、针对性不强、 基本满⾜施⼯要求得2分；3.⽅案及措施简单、不能完全满⾜施⼯要求得1分；4.未提供得0分。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项⽬组织机构及项⽬经理部组成⼈员</w:t>
            </w:r>
          </w:p>
        </w:tc>
        <w:tc>
          <w:tcPr>
            <w:tcW w:type="dxa" w:w="2492"/>
          </w:tcPr>
          <w:p>
            <w:pPr>
              <w:pStyle w:val="null3"/>
            </w:pPr>
            <w:r>
              <w:rPr>
                <w:rFonts w:ascii="仿宋_GB2312" w:hAnsi="仿宋_GB2312" w:cs="仿宋_GB2312" w:eastAsia="仿宋_GB2312"/>
              </w:rPr>
              <w:t>1.项⽬组织管理机构（2分）：提供项⽬组织管理机构表得2分；未提供得0分。 2.项⽬⼈员配备（6分）：需配备技术负责⼈、专职安全员（需提供建筑施⼯企业三类⼈员C证）、质检员（需提供质量员证书）、材料员、预算员、资料员等岗位，均需提供⾝份证、资格证或岗位证书、社保缴纳证明或劳动合同。每配备⼀⼈得1分，最⾼得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项目主要人员简历表.docx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劳动⼒安排计划及劳务分包情况表</w:t>
            </w:r>
          </w:p>
        </w:tc>
        <w:tc>
          <w:tcPr>
            <w:tcW w:type="dxa" w:w="2492"/>
          </w:tcPr>
          <w:p>
            <w:pPr>
              <w:pStyle w:val="null3"/>
            </w:pPr>
            <w:r>
              <w:rPr>
                <w:rFonts w:ascii="仿宋_GB2312" w:hAnsi="仿宋_GB2312" w:cs="仿宋_GB2312" w:eastAsia="仿宋_GB2312"/>
              </w:rPr>
              <w:t>劳动⼒安排合理妥当，时间安排合理满⾜施⼯需求。1.⽅案内容完整 详尽、科学合理、切实可⾏、针对性强，完全满⾜施⼯要求得4分；2.⽅案基本完整、较合理可⾏、针对性不强、基本满⾜施⼯要求得2分 ；3.⽅案简单、不能完全满⾜施⼯要求得1分；4.未提供得0分。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施⼯机械投⼊</w:t>
            </w:r>
          </w:p>
        </w:tc>
        <w:tc>
          <w:tcPr>
            <w:tcW w:type="dxa" w:w="2492"/>
          </w:tcPr>
          <w:p>
            <w:pPr>
              <w:pStyle w:val="null3"/>
            </w:pPr>
            <w:r>
              <w:rPr>
                <w:rFonts w:ascii="仿宋_GB2312" w:hAnsi="仿宋_GB2312" w:cs="仿宋_GB2312" w:eastAsia="仿宋_GB2312"/>
              </w:rPr>
              <w:t>1.投⼊的施⼯机械、设备具有详细计划，设备数量、选型配置、进场数量、时间安排合理满⾜施⼯需求得4分；2.投⼊的施⼯机械、设备具有较完整的计划，设备数量、选型配置、进场数量、时间安排较能满⾜施⼯需求得2分；3.投⼊的施⼯机械、设备计划简单，不能完全满⾜施⼯需求得1分；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对本项⽬应急预案1.⽅案内容完整详尽、科学合理、切实可⾏、针对性强，完全满⾜施⼯要求得4分；2.⽅案基本完整、较合理可⾏、针对性不强、基本满⾜施⼯要求得2分；3.⽅案简单、不能完全满⾜施⼯要求得1分；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针对本项⽬的合理化建议1.内容完整详尽、科学合理、切实可⾏、针对性强，完全满⾜施⼯要求得4分 ；2.内容基本完整、较合理可⾏、针对性不强、基本满⾜施⼯要求得2分；3.内容简单、不能完全满⾜施⼯要求得1分；4.未提供得0分。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保修期内服务措施及保修承诺</w:t>
            </w:r>
          </w:p>
        </w:tc>
        <w:tc>
          <w:tcPr>
            <w:tcW w:type="dxa" w:w="2492"/>
          </w:tcPr>
          <w:p>
            <w:pPr>
              <w:pStyle w:val="null3"/>
            </w:pPr>
            <w:r>
              <w:rPr>
                <w:rFonts w:ascii="仿宋_GB2312" w:hAnsi="仿宋_GB2312" w:cs="仿宋_GB2312" w:eastAsia="仿宋_GB2312"/>
              </w:rPr>
              <w:t>1.保修期内服务措施得2分：提供保修服务⼯作⽅案、回访计划及质量保修措施、保修团队⼈员名单、联系⽅式得2分，未提供得0分。 2.保修承诺得1分：质保期每延⻓半年得0.5分，最⾼1分；未延⻓此项不得分。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7⽉1⽇⾄今类似项⽬业绩，每提供⼀项有效业绩得2分，满分12分。注:业绩需提供中标通知书及合同（合同需含项⽬名称、⾦额、⼯期、签署时间等关键⻚）的复印件或扫描件加盖供应商公章，时间以合同签订时间为准。企业业绩与项⽬经理业绩可重复。</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满⾜磋商⽂件要求且最后的磋商报价最低的投标价为评审基准价，其价格分为满分。 磋商报价得分=（ 评审基准价/磋商报价）×30。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详见附件：法人授权委托书.docx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详见附件：项目主要人员简历表.docx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