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版本号：RDZX-2026-01020260715001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汉台区未成年人保护中心运行保障服务项目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RDZX-2026-010</w:t>
      </w:r>
      <w:r>
        <w:br/>
      </w:r>
      <w:r>
        <w:br/>
      </w:r>
      <w:r>
        <w:br/>
      </w:r>
    </w:p>
    <w:p>
      <w:pPr>
        <w:pStyle w:val="null3"/>
        <w:jc w:val="center"/>
        <w:outlineLvl w:val="2"/>
      </w:pPr>
      <w:r>
        <w:rPr>
          <w:rFonts w:ascii="仿宋_GB2312" w:hAnsi="仿宋_GB2312" w:cs="仿宋_GB2312" w:eastAsia="仿宋_GB2312"/>
          <w:sz w:val="28"/>
          <w:b/>
        </w:rPr>
        <w:t>汉中市汉台区社会救助事务服务中心（汉中市汉台区未成年人保护中心）</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汉中市汉台区社会救助事务服务中心（汉中市汉台区未成年人保护中心）</w:t>
      </w:r>
      <w:r>
        <w:rPr>
          <w:rFonts w:ascii="仿宋_GB2312" w:hAnsi="仿宋_GB2312" w:cs="仿宋_GB2312" w:eastAsia="仿宋_GB2312"/>
        </w:rPr>
        <w:t>委托，拟对</w:t>
      </w:r>
      <w:r>
        <w:rPr>
          <w:rFonts w:ascii="仿宋_GB2312" w:hAnsi="仿宋_GB2312" w:cs="仿宋_GB2312" w:eastAsia="仿宋_GB2312"/>
        </w:rPr>
        <w:t>汉台区未成年人保护中心运行保障服务项目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RDZX-2026-010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汉台区未成年人保护中心运行保障服务项目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未成年人保护中心作为民政部门依法履行临时监护职责、开展困境未成年人权益保障工作的重要阵地，主要承担收留、抚养由民政部门依法临时监护的未成年人，并开展困境未成年人关爱服务工作的职能。为贯彻落实《未成年人救助保护机构管理暂行办法》关于机构应当设置功能区域、配备安全管理人员、实行 24 小时值班巡查等要求，确保中心早日实现实体化运行，配备专业化的服务保障队伍。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采购包1（汉台区未成年人保护中心运行保障服务项目）：属于专门面向中小企业采购。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3、承诺函：供应商需提供《汉中市政府采购供应商资格承诺函》</w:t>
      </w:r>
    </w:p>
    <w:p>
      <w:pPr>
        <w:pStyle w:val="null3"/>
      </w:pPr>
      <w:r>
        <w:rPr>
          <w:rFonts w:ascii="仿宋_GB2312" w:hAnsi="仿宋_GB2312" w:cs="仿宋_GB2312" w:eastAsia="仿宋_GB2312"/>
        </w:rPr>
        <w:t>4、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汉中市汉台区社会救助事务服务中心（汉中市汉台区未成年人保护中心）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汉中市汉台区救助管理站经办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0916-2522188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陕西省汉中市汉台区汉中路办事处明珠路8号汉府公馆办公楼6层0604号办公房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经甲乙双方协商确定， 采购代理服务费按《招标代理服务收费管理暂行办法》 （计价格【2002】 1980号）、发改办价格【2003】 857号收取， 由成交人在领取成交（中标） 通知书时一次付清。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汉中市汉台区社会救助事务服务中心（汉中市汉台区未成年人保护中心）</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汉中市汉台区社会救助事务服务中心（汉中市汉台区未成年人保护中心）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汉中市汉台区社会救助事务服务中心（汉中市汉台区未成年人保护中心）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引入专业服务团队，为中心提供生活照料、餐饮服务、医疗保健、保育服务、安保服务、保洁服务、上下学专车接送、消防安全保障等全方位服务，确保中心规范、安全、高效运行，为全区生活无着的流浪乞讨、遭受监护侵害、暂时无人监护等困境未成年人提供优质的救助保障服务，切实保障未成年人合法权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采购困境留守儿童生活照料服务及安保消防服务和为未成年人提供饮食后勤等服务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标的名称：采购困境留守儿童生活照料服务及安保消防服务和为未成年人提供饮食后勤等服务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一、项目背景与目标</w:t>
            </w:r>
          </w:p>
          <w:p>
            <w:pPr>
              <w:pStyle w:val="null3"/>
            </w:pPr>
            <w:r>
              <w:rPr>
                <w:rFonts w:ascii="仿宋_GB2312" w:hAnsi="仿宋_GB2312" w:cs="仿宋_GB2312" w:eastAsia="仿宋_GB2312"/>
                <w:sz w:val="18"/>
              </w:rPr>
              <w:t>（一）项目背景</w:t>
            </w:r>
          </w:p>
          <w:p>
            <w:pPr>
              <w:pStyle w:val="null3"/>
              <w:ind w:firstLine="641"/>
            </w:pPr>
            <w:r>
              <w:rPr>
                <w:rFonts w:ascii="仿宋_GB2312" w:hAnsi="仿宋_GB2312" w:cs="仿宋_GB2312" w:eastAsia="仿宋_GB2312"/>
                <w:sz w:val="18"/>
              </w:rPr>
              <w:t>汉台区未成年人保护中心作为民政部门依法履行临时监护职责、开展困境未成年人权益保障工作的重要阵地，主要承担收留、抚养由民政部门依法临时监护的未成年人，并开展困境未成年人关爱服务工作的职能。为贯彻落实《未成年人救助保护机构管理暂行办法》关于机构应当设置功能区域、配备安全管理人员、实行 24 小时值班巡查等要求，确保中心早日实现实体化运行，配备专业化的服务保障队伍。</w:t>
            </w:r>
          </w:p>
          <w:p>
            <w:pPr>
              <w:pStyle w:val="null3"/>
            </w:pPr>
            <w:r>
              <w:rPr>
                <w:rFonts w:ascii="仿宋_GB2312" w:hAnsi="仿宋_GB2312" w:cs="仿宋_GB2312" w:eastAsia="仿宋_GB2312"/>
                <w:sz w:val="18"/>
              </w:rPr>
              <w:t>（二）项目目标</w:t>
            </w:r>
          </w:p>
          <w:p>
            <w:pPr>
              <w:pStyle w:val="null3"/>
              <w:ind w:firstLine="560"/>
              <w:jc w:val="both"/>
            </w:pPr>
            <w:r>
              <w:rPr>
                <w:rFonts w:ascii="仿宋_GB2312" w:hAnsi="仿宋_GB2312" w:cs="仿宋_GB2312" w:eastAsia="仿宋_GB2312"/>
                <w:sz w:val="18"/>
              </w:rPr>
              <w:t>引入专业服务团队，为中心提供生活照料、餐饮服务、医疗保健、保育服务、安保服务、保洁服务、上下学专车接送、消防安全保障等全方位服务，确保中心规范、安全、高效运行，为全区生活无着的流浪乞讨、遭受监护侵害、暂时无人监护等困境未成年人提供优质的救助保障服务，切实保障未成年人合法权益。</w:t>
            </w:r>
          </w:p>
          <w:p>
            <w:pPr>
              <w:pStyle w:val="null3"/>
            </w:pPr>
            <w:r>
              <w:rPr>
                <w:rFonts w:ascii="仿宋_GB2312" w:hAnsi="仿宋_GB2312" w:cs="仿宋_GB2312" w:eastAsia="仿宋_GB2312"/>
                <w:sz w:val="18"/>
              </w:rPr>
              <w:t>二、项目基本情况</w:t>
            </w:r>
          </w:p>
          <w:p>
            <w:pPr>
              <w:pStyle w:val="null3"/>
            </w:pPr>
            <w:r>
              <w:rPr>
                <w:rFonts w:ascii="仿宋_GB2312" w:hAnsi="仿宋_GB2312" w:cs="仿宋_GB2312" w:eastAsia="仿宋_GB2312"/>
                <w:sz w:val="18"/>
              </w:rPr>
              <w:t>（一）项目名称</w:t>
            </w:r>
          </w:p>
          <w:p>
            <w:pPr>
              <w:pStyle w:val="null3"/>
              <w:ind w:firstLine="560"/>
            </w:pPr>
            <w:r>
              <w:rPr>
                <w:rFonts w:ascii="仿宋_GB2312" w:hAnsi="仿宋_GB2312" w:cs="仿宋_GB2312" w:eastAsia="仿宋_GB2312"/>
                <w:sz w:val="18"/>
              </w:rPr>
              <w:t>汉台区未成年人保护中心运行保障服务项目</w:t>
            </w:r>
          </w:p>
          <w:p>
            <w:pPr>
              <w:pStyle w:val="null3"/>
            </w:pPr>
            <w:r>
              <w:rPr>
                <w:rFonts w:ascii="仿宋_GB2312" w:hAnsi="仿宋_GB2312" w:cs="仿宋_GB2312" w:eastAsia="仿宋_GB2312"/>
                <w:sz w:val="18"/>
              </w:rPr>
              <w:t>（二）项目预算</w:t>
            </w:r>
          </w:p>
          <w:p>
            <w:pPr>
              <w:pStyle w:val="null3"/>
              <w:ind w:firstLine="560"/>
            </w:pPr>
            <w:r>
              <w:rPr>
                <w:rFonts w:ascii="仿宋_GB2312" w:hAnsi="仿宋_GB2312" w:cs="仿宋_GB2312" w:eastAsia="仿宋_GB2312"/>
                <w:sz w:val="18"/>
              </w:rPr>
              <w:t>人民币伍拾万元整（¥500,000.00）</w:t>
            </w:r>
          </w:p>
          <w:p>
            <w:pPr>
              <w:pStyle w:val="null3"/>
            </w:pPr>
            <w:r>
              <w:rPr>
                <w:rFonts w:ascii="仿宋_GB2312" w:hAnsi="仿宋_GB2312" w:cs="仿宋_GB2312" w:eastAsia="仿宋_GB2312"/>
                <w:sz w:val="18"/>
              </w:rPr>
              <w:t>（三）服务期</w:t>
            </w:r>
          </w:p>
          <w:p>
            <w:pPr>
              <w:pStyle w:val="null3"/>
              <w:ind w:firstLine="641"/>
            </w:pPr>
            <w:r>
              <w:rPr>
                <w:rFonts w:ascii="仿宋_GB2312" w:hAnsi="仿宋_GB2312" w:cs="仿宋_GB2312" w:eastAsia="仿宋_GB2312"/>
                <w:sz w:val="18"/>
              </w:rPr>
              <w:t>一年（自合同签订之日起计算）。合同期满后，根据服务对象满意度测评和绩效评估结果，在预算保障且购买内容相对固定、连续性强的前提下，经双方协商一致，可续签合同，累计履行期限不超过三年。</w:t>
            </w:r>
          </w:p>
          <w:p>
            <w:pPr>
              <w:pStyle w:val="null3"/>
            </w:pPr>
            <w:r>
              <w:rPr>
                <w:rFonts w:ascii="仿宋_GB2312" w:hAnsi="仿宋_GB2312" w:cs="仿宋_GB2312" w:eastAsia="仿宋_GB2312"/>
                <w:sz w:val="18"/>
              </w:rPr>
              <w:t>三、采购需求</w:t>
            </w:r>
          </w:p>
          <w:p>
            <w:pPr>
              <w:pStyle w:val="null3"/>
              <w:ind w:firstLine="280"/>
            </w:pPr>
            <w:r>
              <w:rPr>
                <w:rFonts w:ascii="仿宋_GB2312" w:hAnsi="仿宋_GB2312" w:cs="仿宋_GB2312" w:eastAsia="仿宋_GB2312"/>
                <w:sz w:val="18"/>
              </w:rPr>
              <w:t>（一）服务对象</w:t>
            </w:r>
          </w:p>
          <w:p>
            <w:pPr>
              <w:pStyle w:val="null3"/>
              <w:ind w:firstLine="641"/>
            </w:pPr>
            <w:r>
              <w:rPr>
                <w:rFonts w:ascii="仿宋_GB2312" w:hAnsi="仿宋_GB2312" w:cs="仿宋_GB2312" w:eastAsia="仿宋_GB2312"/>
                <w:sz w:val="18"/>
              </w:rPr>
              <w:t>全区生活无着的流浪乞讨、遭受监护侵害、暂时无人监护等困境未成年人，以及由民政部门依法临时监护的其他未成年人。</w:t>
            </w:r>
          </w:p>
          <w:p>
            <w:pPr>
              <w:pStyle w:val="null3"/>
            </w:pPr>
            <w:r>
              <w:rPr>
                <w:rFonts w:ascii="仿宋_GB2312" w:hAnsi="仿宋_GB2312" w:cs="仿宋_GB2312" w:eastAsia="仿宋_GB2312"/>
                <w:sz w:val="18"/>
              </w:rPr>
              <w:t>（二）服务内容</w:t>
            </w:r>
          </w:p>
          <w:p>
            <w:pPr>
              <w:pStyle w:val="null3"/>
              <w:ind w:firstLine="641"/>
            </w:pPr>
            <w:r>
              <w:rPr>
                <w:rFonts w:ascii="仿宋_GB2312" w:hAnsi="仿宋_GB2312" w:cs="仿宋_GB2312" w:eastAsia="仿宋_GB2312"/>
                <w:sz w:val="18"/>
              </w:rPr>
              <w:t>根据《未成年人救助保护机构管理暂行办法》关于机构应当提供饮食、起居、清洁、卫生等生活照料服务，按照性别区分生活区域，配备安全管理人员，实行 24 小时值班巡查等要求，结合中心实际运行需要，采购以下服务：</w:t>
            </w:r>
          </w:p>
          <w:tbl>
            <w:tblPr>
              <w:tblBorders>
                <w:top w:val="none" w:color="000000" w:sz="4"/>
                <w:left w:val="none" w:color="000000" w:sz="4"/>
                <w:bottom w:val="none" w:color="000000" w:sz="4"/>
                <w:right w:val="none" w:color="000000" w:sz="4"/>
                <w:insideH w:val="none"/>
                <w:insideV w:val="none"/>
              </w:tblBorders>
            </w:tblPr>
            <w:tblGrid>
              <w:gridCol w:w="252"/>
              <w:gridCol w:w="1703"/>
              <w:gridCol w:w="339"/>
              <w:gridCol w:w="248"/>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服务类别</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firstLine="1176"/>
                    <w:jc w:val="both"/>
                  </w:pPr>
                  <w:r>
                    <w:rPr>
                      <w:rFonts w:ascii="仿宋_GB2312" w:hAnsi="仿宋_GB2312" w:cs="仿宋_GB2312" w:eastAsia="仿宋_GB2312"/>
                      <w:sz w:val="18"/>
                    </w:rPr>
                    <w:t>服务内容</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人员配置建议</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保育</w:t>
                  </w:r>
                </w:p>
                <w:p>
                  <w:pPr>
                    <w:pStyle w:val="null3"/>
                    <w:jc w:val="both"/>
                  </w:pPr>
                  <w:r>
                    <w:rPr>
                      <w:rFonts w:ascii="仿宋_GB2312" w:hAnsi="仿宋_GB2312" w:cs="仿宋_GB2312" w:eastAsia="仿宋_GB2312"/>
                      <w:sz w:val="18"/>
                    </w:rPr>
                    <w:t>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负责未成年人的日常生活照料，包括饮食起居、个人卫生清洁、衣物清洗、行为引导、心理抚慰等；配合开展适合未成年人的文化、体育、娱乐活动。对于女性未成年人，应由女性工作人员提供生活照料服务。</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w:t>
                  </w:r>
                  <w:r>
                    <w:rPr>
                      <w:rFonts w:ascii="仿宋_GB2312" w:hAnsi="仿宋_GB2312" w:cs="仿宋_GB2312" w:eastAsia="仿宋_GB2312"/>
                      <w:sz w:val="18"/>
                    </w:rPr>
                    <w:t>5人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餐饮</w:t>
                  </w:r>
                </w:p>
                <w:p>
                  <w:pPr>
                    <w:pStyle w:val="null3"/>
                    <w:jc w:val="both"/>
                  </w:pPr>
                  <w:r>
                    <w:rPr>
                      <w:rFonts w:ascii="仿宋_GB2312" w:hAnsi="仿宋_GB2312" w:cs="仿宋_GB2312" w:eastAsia="仿宋_GB2312"/>
                      <w:sz w:val="18"/>
                    </w:rPr>
                    <w:t>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负责主副食制作、营养搭配、食品安全管理，保障未成年人用餐安全卫生、营养健康。</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w:t>
                  </w:r>
                  <w:r>
                    <w:rPr>
                      <w:rFonts w:ascii="仿宋_GB2312" w:hAnsi="仿宋_GB2312" w:cs="仿宋_GB2312" w:eastAsia="仿宋_GB2312"/>
                      <w:sz w:val="18"/>
                    </w:rPr>
                    <w:t>1人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医疗保健服务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负责未成年人日常健康监测、常见病处理、药品管理；协助联系医疗卫生机构，保障收留抚养未成年人基本医疗需求；配合做好新接收未成年人健康体检和传染病筛查工作。</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w:t>
                  </w:r>
                  <w:r>
                    <w:rPr>
                      <w:rFonts w:ascii="仿宋_GB2312" w:hAnsi="仿宋_GB2312" w:cs="仿宋_GB2312" w:eastAsia="仿宋_GB2312"/>
                      <w:sz w:val="18"/>
                    </w:rPr>
                    <w:t>1人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安保</w:t>
                  </w:r>
                </w:p>
                <w:p>
                  <w:pPr>
                    <w:pStyle w:val="null3"/>
                    <w:jc w:val="both"/>
                  </w:pPr>
                  <w:r>
                    <w:rPr>
                      <w:rFonts w:ascii="仿宋_GB2312" w:hAnsi="仿宋_GB2312" w:cs="仿宋_GB2312" w:eastAsia="仿宋_GB2312"/>
                      <w:sz w:val="18"/>
                    </w:rPr>
                    <w:t>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负责中心出入管理、安全巡查、秩序维护；协助开展人身安全教育，提高未成年人自我保护意识和能力；配合做好突发事件应急处置。</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w:t>
                  </w:r>
                  <w:r>
                    <w:rPr>
                      <w:rFonts w:ascii="仿宋_GB2312" w:hAnsi="仿宋_GB2312" w:cs="仿宋_GB2312" w:eastAsia="仿宋_GB2312"/>
                      <w:sz w:val="18"/>
                    </w:rPr>
                    <w:t>2人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消防安全保障</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负责消防设施设备检查维护、消防安全巡查、消防演练组织；落实消防安全责任制，制定灭火和应急疏散预案；保障疏散通道、安全出口、消防车通道畅通。从事消防岗位人员应持有相关职业资格证书。</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不少于1人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保洁</w:t>
                  </w:r>
                </w:p>
                <w:p>
                  <w:pPr>
                    <w:pStyle w:val="null3"/>
                    <w:jc w:val="both"/>
                  </w:pPr>
                  <w:r>
                    <w:rPr>
                      <w:rFonts w:ascii="仿宋_GB2312" w:hAnsi="仿宋_GB2312" w:cs="仿宋_GB2312" w:eastAsia="仿宋_GB2312"/>
                      <w:sz w:val="18"/>
                    </w:rPr>
                    <w:t>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负责中心公共区域、功能区域、生活区域的日常清洁消毒；环境卫生管理；垃圾清运处理。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不少于2人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专车接送服务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负责符合入学条件的未成年人上下学专车接送；保障车辆安全运行，定期维护保养；接送人员应具备相应驾驶资格。</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不少于1人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18"/>
              </w:rPr>
              <w:t>（三）人员配置说明</w:t>
            </w:r>
          </w:p>
          <w:p>
            <w:pPr>
              <w:pStyle w:val="null3"/>
              <w:ind w:firstLine="641"/>
            </w:pPr>
            <w:r>
              <w:rPr>
                <w:rFonts w:ascii="仿宋_GB2312" w:hAnsi="仿宋_GB2312" w:cs="仿宋_GB2312" w:eastAsia="仿宋_GB2312"/>
                <w:sz w:val="18"/>
              </w:rPr>
              <w:t>以上人员配置数量为最低配置要求，供应商应根据服务实际需要合理配置人员，确保各项服务落实到位。供应商可结合自身管理模式、人员排班等因素优化配置方案，但须保证服务质量达标、服务时间全覆盖（含节假日及夜间）。每日值班人员不少于两人，重点加强节假日及夜间巡查。供应商应确保人员配置能够满足 24 小时服务覆盖需求，关键岗位（如安保、保育）应实行轮班制。</w:t>
            </w:r>
          </w:p>
          <w:p>
            <w:pPr>
              <w:pStyle w:val="null3"/>
            </w:pPr>
            <w:r>
              <w:rPr>
                <w:rFonts w:ascii="仿宋_GB2312" w:hAnsi="仿宋_GB2312" w:cs="仿宋_GB2312" w:eastAsia="仿宋_GB2312"/>
                <w:sz w:val="18"/>
              </w:rPr>
              <w:t>四、项目要求</w:t>
            </w:r>
          </w:p>
          <w:p>
            <w:pPr>
              <w:pStyle w:val="null3"/>
            </w:pPr>
            <w:r>
              <w:rPr>
                <w:rFonts w:ascii="仿宋_GB2312" w:hAnsi="仿宋_GB2312" w:cs="仿宋_GB2312" w:eastAsia="仿宋_GB2312"/>
                <w:sz w:val="18"/>
              </w:rPr>
              <w:t>（一）人员配置要求</w:t>
            </w:r>
          </w:p>
          <w:p>
            <w:pPr>
              <w:pStyle w:val="null3"/>
              <w:ind w:firstLine="560"/>
            </w:pPr>
            <w:r>
              <w:rPr>
                <w:rFonts w:ascii="仿宋_GB2312" w:hAnsi="仿宋_GB2312" w:cs="仿宋_GB2312" w:eastAsia="仿宋_GB2312"/>
                <w:sz w:val="18"/>
              </w:rPr>
              <w:t>1. 基本要求：所有服务人员应无性侵害、虐待、拐卖、暴力伤害等违法犯罪记录。供应商在招聘工作人员时，应向公安机关、人民检察院或相关网站查询应聘者是否具有上述违法犯罪记录，发现具有相关行为记录的不得录用。</w:t>
            </w:r>
          </w:p>
          <w:p>
            <w:pPr>
              <w:pStyle w:val="null3"/>
              <w:ind w:firstLine="560"/>
            </w:pPr>
            <w:r>
              <w:rPr>
                <w:rFonts w:ascii="仿宋_GB2312" w:hAnsi="仿宋_GB2312" w:cs="仿宋_GB2312" w:eastAsia="仿宋_GB2312"/>
                <w:sz w:val="18"/>
              </w:rPr>
              <w:t>2. 资质要求：</w:t>
            </w:r>
          </w:p>
          <w:p>
            <w:pPr>
              <w:pStyle w:val="null3"/>
              <w:ind w:firstLine="560"/>
            </w:pPr>
            <w:r>
              <w:rPr>
                <w:rFonts w:ascii="仿宋_GB2312" w:hAnsi="仿宋_GB2312" w:cs="仿宋_GB2312" w:eastAsia="仿宋_GB2312"/>
                <w:sz w:val="18"/>
              </w:rPr>
              <w:t>保育人员：具有保育员职业资格证书或教师资格证书，并具备相关从业经验，女性未成年人应由女性工作人员提供服务。</w:t>
            </w:r>
          </w:p>
          <w:p>
            <w:pPr>
              <w:pStyle w:val="null3"/>
              <w:ind w:firstLine="560"/>
            </w:pPr>
            <w:r>
              <w:rPr>
                <w:rFonts w:ascii="仿宋_GB2312" w:hAnsi="仿宋_GB2312" w:cs="仿宋_GB2312" w:eastAsia="仿宋_GB2312"/>
                <w:sz w:val="18"/>
              </w:rPr>
              <w:t>餐饮人员：持有健康证。</w:t>
            </w:r>
          </w:p>
          <w:p>
            <w:pPr>
              <w:pStyle w:val="null3"/>
              <w:ind w:firstLine="560"/>
            </w:pPr>
            <w:r>
              <w:rPr>
                <w:rFonts w:ascii="仿宋_GB2312" w:hAnsi="仿宋_GB2312" w:cs="仿宋_GB2312" w:eastAsia="仿宋_GB2312"/>
                <w:sz w:val="18"/>
              </w:rPr>
              <w:t>医务人员：持有相关执业资格证书。</w:t>
            </w:r>
          </w:p>
          <w:p>
            <w:pPr>
              <w:pStyle w:val="null3"/>
              <w:ind w:firstLine="560"/>
            </w:pPr>
            <w:r>
              <w:rPr>
                <w:rFonts w:ascii="仿宋_GB2312" w:hAnsi="仿宋_GB2312" w:cs="仿宋_GB2312" w:eastAsia="仿宋_GB2312"/>
                <w:sz w:val="18"/>
              </w:rPr>
              <w:t>安保人员：熟悉安全保卫工作。</w:t>
            </w:r>
          </w:p>
          <w:p>
            <w:pPr>
              <w:pStyle w:val="null3"/>
              <w:ind w:firstLine="560"/>
            </w:pPr>
            <w:r>
              <w:rPr>
                <w:rFonts w:ascii="仿宋_GB2312" w:hAnsi="仿宋_GB2312" w:cs="仿宋_GB2312" w:eastAsia="仿宋_GB2312"/>
                <w:sz w:val="18"/>
              </w:rPr>
              <w:t>消防人员：持有消防设施操作员等职业资格证书。</w:t>
            </w:r>
          </w:p>
          <w:p>
            <w:pPr>
              <w:pStyle w:val="null3"/>
              <w:ind w:firstLine="560"/>
            </w:pPr>
            <w:r>
              <w:rPr>
                <w:rFonts w:ascii="仿宋_GB2312" w:hAnsi="仿宋_GB2312" w:cs="仿宋_GB2312" w:eastAsia="仿宋_GB2312"/>
                <w:sz w:val="18"/>
              </w:rPr>
              <w:t>司机：持有相应准驾车型驾驶证，具有良好驾驶记录。</w:t>
            </w:r>
          </w:p>
          <w:p>
            <w:pPr>
              <w:pStyle w:val="null3"/>
              <w:ind w:firstLine="560"/>
            </w:pPr>
            <w:r>
              <w:rPr>
                <w:rFonts w:ascii="仿宋_GB2312" w:hAnsi="仿宋_GB2312" w:cs="仿宋_GB2312" w:eastAsia="仿宋_GB2312"/>
                <w:sz w:val="18"/>
              </w:rPr>
              <w:t>3.培训要求：供应商应定期对服务人员进行业务培训，包括职业道德、未成年人保护法律法规、安全知识、应急处置等，培训次数每年不少于 4 次，不断提升服务能力。</w:t>
            </w:r>
          </w:p>
          <w:p>
            <w:pPr>
              <w:pStyle w:val="null3"/>
              <w:ind w:firstLine="560"/>
            </w:pPr>
            <w:r>
              <w:rPr>
                <w:rFonts w:ascii="仿宋_GB2312" w:hAnsi="仿宋_GB2312" w:cs="仿宋_GB2312" w:eastAsia="仿宋_GB2312"/>
                <w:sz w:val="18"/>
              </w:rPr>
              <w:t>4.专职要求：执行本项目的服务人员应相对固定，确保服务的连续性和稳定性。人员变动应及时向采购方报备，核心岗位人员变动需提前 10 个工作日书面告知采购方。</w:t>
            </w:r>
          </w:p>
          <w:p>
            <w:pPr>
              <w:pStyle w:val="null3"/>
            </w:pPr>
            <w:r>
              <w:rPr>
                <w:rFonts w:ascii="仿宋_GB2312" w:hAnsi="仿宋_GB2312" w:cs="仿宋_GB2312" w:eastAsia="仿宋_GB2312"/>
                <w:sz w:val="18"/>
              </w:rPr>
              <w:t>（二）管理要求</w:t>
            </w:r>
          </w:p>
          <w:p>
            <w:pPr>
              <w:pStyle w:val="null3"/>
              <w:ind w:firstLine="560"/>
            </w:pPr>
            <w:r>
              <w:rPr>
                <w:rFonts w:ascii="仿宋_GB2312" w:hAnsi="仿宋_GB2312" w:cs="仿宋_GB2312" w:eastAsia="仿宋_GB2312"/>
                <w:sz w:val="18"/>
              </w:rPr>
              <w:t>1.供应商应建立健全安全、食品、应急、财务、档案、信息等管理制度，规范服务流程，加强风险防控，提高服务能力。</w:t>
            </w:r>
          </w:p>
          <w:p>
            <w:pPr>
              <w:pStyle w:val="null3"/>
              <w:ind w:firstLine="560"/>
            </w:pPr>
            <w:r>
              <w:rPr>
                <w:rFonts w:ascii="仿宋_GB2312" w:hAnsi="仿宋_GB2312" w:cs="仿宋_GB2312" w:eastAsia="仿宋_GB2312"/>
                <w:sz w:val="18"/>
              </w:rPr>
              <w:t>2.供应商应依法履行安全管理主体责任，主要负责人对机构安全工作全面负责，依法设置安全管理机构或配备专（兼）职安全管理人员。</w:t>
            </w:r>
          </w:p>
          <w:p>
            <w:pPr>
              <w:pStyle w:val="null3"/>
              <w:ind w:firstLine="560"/>
            </w:pPr>
            <w:r>
              <w:rPr>
                <w:rFonts w:ascii="仿宋_GB2312" w:hAnsi="仿宋_GB2312" w:cs="仿宋_GB2312" w:eastAsia="仿宋_GB2312"/>
                <w:sz w:val="18"/>
              </w:rPr>
              <w:t>3.供应商应实行 24 小时值班巡查制度，每日值班人员不少于两人。值班人员应当坚守岗位，按照规定开展巡查，重点加强节假日及夜间巡查，并做好巡查记录。</w:t>
            </w:r>
          </w:p>
          <w:p>
            <w:pPr>
              <w:pStyle w:val="null3"/>
              <w:ind w:firstLine="560"/>
            </w:pPr>
            <w:r>
              <w:rPr>
                <w:rFonts w:ascii="仿宋_GB2312" w:hAnsi="仿宋_GB2312" w:cs="仿宋_GB2312" w:eastAsia="仿宋_GB2312"/>
                <w:sz w:val="18"/>
              </w:rPr>
              <w:t>4.供应商应加强食品安全管理，保障未成年人用餐安全卫生、营养健康，按规定对食品留样备查。</w:t>
            </w:r>
          </w:p>
          <w:p>
            <w:pPr>
              <w:pStyle w:val="null3"/>
              <w:ind w:firstLine="560"/>
            </w:pPr>
            <w:r>
              <w:rPr>
                <w:rFonts w:ascii="仿宋_GB2312" w:hAnsi="仿宋_GB2312" w:cs="仿宋_GB2312" w:eastAsia="仿宋_GB2312"/>
                <w:sz w:val="18"/>
              </w:rPr>
              <w:t>5.供应商应建立服务对象档案，妥善收集和保存服务全过程形成的相关业务材料。</w:t>
            </w:r>
          </w:p>
          <w:p>
            <w:pPr>
              <w:pStyle w:val="null3"/>
              <w:ind w:firstLine="560"/>
            </w:pPr>
            <w:r>
              <w:rPr>
                <w:rFonts w:ascii="仿宋_GB2312" w:hAnsi="仿宋_GB2312" w:cs="仿宋_GB2312" w:eastAsia="仿宋_GB2312"/>
                <w:sz w:val="18"/>
              </w:rPr>
              <w:t>6.供应商应对服务对象的个人信息等负有严格保密责任，不得泄露或非法向他人提供未成年人的个人隐私、个人信息。</w:t>
            </w:r>
          </w:p>
          <w:p>
            <w:pPr>
              <w:pStyle w:val="null3"/>
              <w:ind w:firstLine="560"/>
            </w:pPr>
            <w:r>
              <w:rPr>
                <w:rFonts w:ascii="仿宋_GB2312" w:hAnsi="仿宋_GB2312" w:cs="仿宋_GB2312" w:eastAsia="仿宋_GB2312"/>
                <w:sz w:val="18"/>
              </w:rPr>
              <w:t>7.建立服务对象满意度反馈机制，定期收集意见建议，持续改进服务质量。</w:t>
            </w:r>
          </w:p>
          <w:p>
            <w:pPr>
              <w:pStyle w:val="null3"/>
              <w:ind w:firstLine="560"/>
            </w:pPr>
            <w:r>
              <w:rPr>
                <w:rFonts w:ascii="仿宋_GB2312" w:hAnsi="仿宋_GB2312" w:cs="仿宋_GB2312" w:eastAsia="仿宋_GB2312"/>
                <w:sz w:val="18"/>
              </w:rPr>
              <w:t>8.配合采购方或其委托的第三方机构进行项目评估和监督检查。</w:t>
            </w:r>
          </w:p>
          <w:p>
            <w:pPr>
              <w:pStyle w:val="null3"/>
            </w:pPr>
            <w:r>
              <w:rPr>
                <w:rFonts w:ascii="仿宋_GB2312" w:hAnsi="仿宋_GB2312" w:cs="仿宋_GB2312" w:eastAsia="仿宋_GB2312"/>
                <w:sz w:val="18"/>
              </w:rPr>
              <w:t>五、项目预算与付款方式</w:t>
            </w:r>
          </w:p>
          <w:p>
            <w:pPr>
              <w:pStyle w:val="null3"/>
              <w:ind w:firstLine="560"/>
            </w:pPr>
            <w:r>
              <w:rPr>
                <w:rFonts w:ascii="仿宋_GB2312" w:hAnsi="仿宋_GB2312" w:cs="仿宋_GB2312" w:eastAsia="仿宋_GB2312"/>
                <w:sz w:val="18"/>
              </w:rPr>
              <w:t>（一）项目总价</w:t>
            </w:r>
          </w:p>
          <w:p>
            <w:pPr>
              <w:pStyle w:val="null3"/>
              <w:ind w:firstLine="560"/>
            </w:pPr>
            <w:r>
              <w:rPr>
                <w:rFonts w:ascii="仿宋_GB2312" w:hAnsi="仿宋_GB2312" w:cs="仿宋_GB2312" w:eastAsia="仿宋_GB2312"/>
                <w:sz w:val="18"/>
              </w:rPr>
              <w:t>本项目预算控制价为人民币伍拾万元整（ ¥500,000.00），供应商报价不得超过此控制价。供应商应根据服务内容、人员配置、工作量等因素合理测算成本，确保报价能够支撑服务质量的达成。</w:t>
            </w:r>
          </w:p>
          <w:p>
            <w:pPr>
              <w:pStyle w:val="null3"/>
              <w:ind w:firstLine="560"/>
            </w:pPr>
            <w:r>
              <w:rPr>
                <w:rFonts w:ascii="仿宋_GB2312" w:hAnsi="仿宋_GB2312" w:cs="仿宋_GB2312" w:eastAsia="仿宋_GB2312"/>
                <w:sz w:val="18"/>
              </w:rPr>
              <w:t>（二）资金使用要求</w:t>
            </w:r>
          </w:p>
          <w:p>
            <w:pPr>
              <w:pStyle w:val="null3"/>
              <w:ind w:firstLine="560"/>
            </w:pPr>
            <w:r>
              <w:rPr>
                <w:rFonts w:ascii="仿宋_GB2312" w:hAnsi="仿宋_GB2312" w:cs="仿宋_GB2312" w:eastAsia="仿宋_GB2312"/>
                <w:sz w:val="18"/>
              </w:rPr>
              <w:t>项目经费必须专款专用，全部用于本项目约定的服务内容。项目经费扣除合理利润后，应全部用于服务人员支出，包括工资、社会保险等费用。其余资金使用应严格遵守财政及民政部门关于购买服务资金的管理规定:不得以任何形式挤占、截留、挪用项目资金;不得用于与项目无关的支出;建立健全购买服务资金专项财务管理制度，纳入单位财务统一管理，专款专用，独立核算，开具正规发票。</w:t>
            </w:r>
          </w:p>
          <w:p>
            <w:pPr>
              <w:pStyle w:val="null3"/>
              <w:ind w:firstLine="560"/>
            </w:pPr>
            <w:r>
              <w:rPr>
                <w:rFonts w:ascii="仿宋_GB2312" w:hAnsi="仿宋_GB2312" w:cs="仿宋_GB2312" w:eastAsia="仿宋_GB2312"/>
                <w:sz w:val="18"/>
              </w:rPr>
              <w:t>（三）付款方式</w:t>
            </w:r>
          </w:p>
          <w:p>
            <w:pPr>
              <w:pStyle w:val="null3"/>
              <w:ind w:firstLine="560"/>
            </w:pPr>
            <w:r>
              <w:rPr>
                <w:rFonts w:ascii="仿宋_GB2312" w:hAnsi="仿宋_GB2312" w:cs="仿宋_GB2312" w:eastAsia="仿宋_GB2312"/>
                <w:sz w:val="18"/>
              </w:rPr>
              <w:t>本项目合同的款项均以人民币方式支付，支付所需文件为合同、验收报告（加盖采购人公章）、正式全额发票等。</w:t>
            </w:r>
          </w:p>
          <w:p>
            <w:pPr>
              <w:pStyle w:val="null3"/>
              <w:ind w:firstLine="560"/>
            </w:pPr>
            <w:r>
              <w:rPr>
                <w:rFonts w:ascii="仿宋_GB2312" w:hAnsi="仿宋_GB2312" w:cs="仿宋_GB2312" w:eastAsia="仿宋_GB2312"/>
                <w:sz w:val="18"/>
              </w:rPr>
              <w:t>项目经费分三期拨付：</w:t>
            </w:r>
          </w:p>
          <w:p>
            <w:pPr>
              <w:pStyle w:val="null3"/>
              <w:ind w:firstLine="560"/>
            </w:pPr>
            <w:r>
              <w:rPr>
                <w:rFonts w:ascii="仿宋_GB2312" w:hAnsi="仿宋_GB2312" w:cs="仿宋_GB2312" w:eastAsia="仿宋_GB2312"/>
                <w:sz w:val="18"/>
              </w:rPr>
              <w:t>第一期：双方签订服务合同后，支付合同总金额的 50%；</w:t>
            </w:r>
          </w:p>
          <w:p>
            <w:pPr>
              <w:pStyle w:val="null3"/>
              <w:ind w:firstLine="560"/>
            </w:pPr>
            <w:r>
              <w:rPr>
                <w:rFonts w:ascii="仿宋_GB2312" w:hAnsi="仿宋_GB2312" w:cs="仿宋_GB2312" w:eastAsia="仿宋_GB2312"/>
                <w:sz w:val="18"/>
              </w:rPr>
              <w:t xml:space="preserve">第二期：项目中期评估合格后，支付合同总金额的 30%； </w:t>
            </w:r>
          </w:p>
          <w:p>
            <w:pPr>
              <w:pStyle w:val="null3"/>
              <w:ind w:firstLine="560"/>
            </w:pPr>
            <w:r>
              <w:rPr>
                <w:rFonts w:ascii="仿宋_GB2312" w:hAnsi="仿宋_GB2312" w:cs="仿宋_GB2312" w:eastAsia="仿宋_GB2312"/>
                <w:sz w:val="18"/>
              </w:rPr>
              <w:t>第三期：项目末期评估合格后，支付合同总金额的 20%。</w:t>
            </w:r>
          </w:p>
          <w:p>
            <w:pPr>
              <w:pStyle w:val="null3"/>
              <w:ind w:firstLine="560"/>
            </w:pPr>
            <w:r>
              <w:rPr>
                <w:rFonts w:ascii="仿宋_GB2312" w:hAnsi="仿宋_GB2312" w:cs="仿宋_GB2312" w:eastAsia="仿宋_GB2312"/>
                <w:sz w:val="18"/>
              </w:rPr>
              <w:t>如项目评估不合格，则当期资金不予拨付或暂缓拨付，待整改合格后再行拨付。</w:t>
            </w:r>
          </w:p>
          <w:p>
            <w:pPr>
              <w:pStyle w:val="null3"/>
              <w:ind w:firstLine="560"/>
            </w:pPr>
            <w:r>
              <w:rPr>
                <w:rFonts w:ascii="仿宋_GB2312" w:hAnsi="仿宋_GB2312" w:cs="仿宋_GB2312" w:eastAsia="仿宋_GB2312"/>
                <w:sz w:val="18"/>
              </w:rPr>
              <w:t>项目资金拨付均以区财政局支付流程实际时限为准。</w:t>
            </w:r>
          </w:p>
          <w:p>
            <w:pPr>
              <w:pStyle w:val="null3"/>
            </w:pPr>
            <w:r>
              <w:rPr>
                <w:rFonts w:ascii="仿宋_GB2312" w:hAnsi="仿宋_GB2312" w:cs="仿宋_GB2312" w:eastAsia="仿宋_GB2312"/>
                <w:sz w:val="18"/>
              </w:rPr>
              <w:t>（四）项目评估</w:t>
            </w:r>
          </w:p>
          <w:p>
            <w:pPr>
              <w:pStyle w:val="null3"/>
              <w:ind w:firstLine="560"/>
            </w:pPr>
            <w:r>
              <w:rPr>
                <w:rFonts w:ascii="仿宋_GB2312" w:hAnsi="仿宋_GB2312" w:cs="仿宋_GB2312" w:eastAsia="仿宋_GB2312"/>
                <w:sz w:val="18"/>
              </w:rPr>
              <w:t>项目中期、末期由采购方或其委托的第三方机构开展评估，评估内容涵盖服务质量、服务对象满意度、管理制度落实情况、资金使用规范性等。</w:t>
            </w:r>
            <w:r>
              <w:rPr>
                <w:rFonts w:ascii="仿宋_GB2312" w:hAnsi="仿宋_GB2312" w:cs="仿宋_GB2312" w:eastAsia="仿宋_GB2312"/>
                <w:sz w:val="18"/>
                <w:b/>
              </w:rPr>
              <w:t>评估标准及细则详见本合同附件，</w:t>
            </w:r>
            <w:r>
              <w:rPr>
                <w:rFonts w:ascii="仿宋_GB2312" w:hAnsi="仿宋_GB2312" w:cs="仿宋_GB2312" w:eastAsia="仿宋_GB2312"/>
                <w:sz w:val="18"/>
              </w:rPr>
              <w:t>评估结果作为项目经费拨付及后续合作的重要依据。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1.日常验收：采购方每月对服务质量进行检查，形成月度验收报告。 2.中期验收：合同履行 6 个月后进行中期评估，评估合格作为第二期款项拨付依据。 3.末期验收：合同期满前进行综合验收，评估合格作为第三期款项拨付依据。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进度款，双方签订服务合同后，达到付款条件起10个工作日内，支付合同总金额的50.0%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进度款，项目中期评估合格后，达到付款条件起10个工作日内，支付合同总金额的30.0%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进度款，项目末期评估合格后，达到付款条件起10个工作日内，支付合同总金额的20.0%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 1.供应商未按合同约定提供服务或服务质量不达标的，采购方有权要求限期整改；整改后仍不达标的，有权扣除相应款项或解除合同。 2.因供应商原因造成安全事故或服务对象权益受损的，供应商应承担相应法律责任并赔偿损失。 3.采购方未按合同约定支付款项的，应按相关规定承担违约责任。解决争议：合同履行过程中发生争议的，双方应协商解决；协商不成的， 可向汉中市汉台区人民法院提起诉讼。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符合采购人需求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供应商认为需要提供的其他资料.docx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针对本项目服务对象（流浪乞讨、监护侵害、无人监护、民政临时监护困境未成年人）服务属性，整体架构是否完整、贴合项目实际运营场景，精准界定服务对象范围，整体方案贴合未成年人救助保护工作特点，服务目标清晰、整体规划科学，完全适配项目需求，得10.1-15分；明确服务对象，方案整体合规，未完全适配项目需求，得5.1-10分；服务对象界定模糊，方案与项目需求贴合度低，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服务管理 方案</w:t>
            </w:r>
          </w:p>
        </w:tc>
        <w:tc>
          <w:tcPr>
            <w:tcW w:type="dxa" w:w="2492"/>
          </w:tcPr>
          <w:p>
            <w:pPr>
              <w:pStyle w:val="null3"/>
            </w:pPr>
            <w:r>
              <w:rPr>
                <w:rFonts w:ascii="仿宋_GB2312" w:hAnsi="仿宋_GB2312" w:cs="仿宋_GB2312" w:eastAsia="仿宋_GB2312"/>
              </w:rPr>
              <w:t>服务方案中响应采购安全、食品、应急、档案、保密、满意度反馈、值班巡查等管理要求。方案完整涵盖安全管理、食品安全、应急处置、档案管理、未成年人信息保密、满意度反馈、24小时值班巡查全套管理制度，流程规范、贴合项目，得10.1-15分；包含6项及以上核心管理制度，整体规范但部分制度细化不足，得5.1-10分。包含3-5项核心制度，管理体系不完善，管理制度缺失，无系统化运营管理方案，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应急服务</w:t>
            </w:r>
          </w:p>
        </w:tc>
        <w:tc>
          <w:tcPr>
            <w:tcW w:type="dxa" w:w="2492"/>
          </w:tcPr>
          <w:p>
            <w:pPr>
              <w:pStyle w:val="null3"/>
            </w:pPr>
            <w:r>
              <w:rPr>
                <w:rFonts w:ascii="仿宋_GB2312" w:hAnsi="仿宋_GB2312" w:cs="仿宋_GB2312" w:eastAsia="仿宋_GB2312"/>
              </w:rPr>
              <w:t>结合中心服务对象、针对未成年人救助保护全流程工作，保育服务、安全、食品等突发事件的应急预案及保障措施：①内容完整、逻辑清晰、针对性强，全面贴合未成年人生活照料、分区管理、24小时巡查、安全管控等工作实际，精准覆盖各类服务对象突发情况处置场景，得3.1-5分；②内容较完整、逻辑较清晰、有一定针对性，基本覆盖核心服务工作及主要服务对象应急处置场景，无明显疏漏，得1.6-3分；③内容一般、逻辑一般、针对性一般，仅覆盖部分服务内容及应急场景，贴合中心实际工作程度较弱，得0-1.5分；④无对应预案及保障措施相关描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完整详实、能够明确服务要求，贴合项目实际需求适配度极高得2.6-5分；服务承诺内容整体较全面、无原则性偏差，但内容表述不够详尽、细节打磨不足得1-2.5分；承诺内容简单粗糙、描述粗略，核心内容缺失，无法匹配项目服务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服务团队人员配置数量完全满足磋商文件最低人员配置要求得9分；保育服务增加一人得1.5分，最高得3分；餐饮服务、医疗保健服务、安保服务各增加1人得1分，最高得3分。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拟派人员一览表.docx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供应商提供2023年1月至今的类似项目业绩（以合同或中标（成交）通知书日期为准），每个业绩计2.5分，满分5分。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价格分采用低价优先法计算，即满足磋商文件要求且最后报价最低的供应商价格为磋商基准价，其价格分为满分。其他供应商的价格分统一按下列公式计算：磋商报价得分=（磋商基准价/磋商报价）×价格权值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