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pageBreakBefore w:val="0"/>
        <w:kinsoku/>
        <w:overflowPunct/>
        <w:bidi w:val="0"/>
        <w:outlineLvl w:val="0"/>
        <w:rPr>
          <w:rFonts w:hint="eastAsia" w:ascii="仿宋" w:hAnsi="仿宋" w:eastAsia="仿宋" w:cs="仿宋"/>
          <w:color w:val="auto"/>
          <w:highlight w:val="none"/>
        </w:rPr>
      </w:pPr>
      <w:r>
        <w:rPr>
          <w:rFonts w:hint="eastAsia" w:ascii="仿宋" w:hAnsi="仿宋" w:eastAsia="仿宋" w:cs="仿宋"/>
          <w:color w:val="auto"/>
          <w:highlight w:val="none"/>
        </w:rPr>
        <w:t>合同主要条款</w:t>
      </w:r>
    </w:p>
    <w:p>
      <w:pPr>
        <w:pageBreakBefore w:val="0"/>
        <w:kinsoku/>
        <w:overflowPunct/>
        <w:bidi w:val="0"/>
        <w:jc w:val="center"/>
        <w:outlineLvl w:val="9"/>
        <w:rPr>
          <w:rFonts w:hint="eastAsia" w:ascii="仿宋" w:hAnsi="仿宋" w:eastAsia="仿宋" w:cs="仿宋"/>
          <w:color w:val="auto"/>
          <w:spacing w:val="12"/>
          <w:highlight w:val="none"/>
        </w:rPr>
      </w:pPr>
      <w:r>
        <w:rPr>
          <w:rFonts w:hint="eastAsia" w:ascii="仿宋" w:hAnsi="仿宋" w:eastAsia="仿宋" w:cs="仿宋"/>
          <w:color w:val="auto"/>
          <w:spacing w:val="12"/>
          <w:highlight w:val="none"/>
        </w:rPr>
        <w:t>注：本合同仅为合同的参考文本，合同签订双方可根据项目的具体要求进行修订。</w:t>
      </w:r>
    </w:p>
    <w:p>
      <w:pPr>
        <w:pageBreakBefore w:val="0"/>
        <w:kinsoku/>
        <w:overflowPunct/>
        <w:bidi w:val="0"/>
        <w:outlineLvl w:val="9"/>
        <w:rPr>
          <w:rFonts w:hint="eastAsia" w:ascii="仿宋" w:hAnsi="仿宋" w:eastAsia="仿宋" w:cs="仿宋"/>
          <w:color w:val="auto"/>
          <w:spacing w:val="12"/>
          <w:highlight w:val="none"/>
        </w:rPr>
      </w:pPr>
    </w:p>
    <w:p>
      <w:pPr>
        <w:pageBreakBefore w:val="0"/>
        <w:kinsoku/>
        <w:overflowPunct/>
        <w:bidi w:val="0"/>
        <w:outlineLvl w:val="9"/>
        <w:rPr>
          <w:rFonts w:hint="eastAsia" w:ascii="仿宋" w:hAnsi="仿宋" w:eastAsia="仿宋" w:cs="仿宋"/>
          <w:color w:val="auto"/>
          <w:spacing w:val="12"/>
          <w:sz w:val="44"/>
          <w:szCs w:val="44"/>
          <w:highlight w:val="none"/>
        </w:rPr>
      </w:pPr>
    </w:p>
    <w:p>
      <w:pPr>
        <w:pStyle w:val="2"/>
        <w:rPr>
          <w:rFonts w:hint="eastAsia" w:ascii="仿宋" w:hAnsi="仿宋" w:eastAsia="仿宋" w:cs="仿宋"/>
        </w:rPr>
      </w:pPr>
    </w:p>
    <w:p>
      <w:pPr>
        <w:pStyle w:val="2"/>
        <w:pageBreakBefore w:val="0"/>
        <w:kinsoku/>
        <w:overflowPunct/>
        <w:bidi w:val="0"/>
        <w:outlineLvl w:val="9"/>
        <w:rPr>
          <w:rFonts w:hint="eastAsia" w:ascii="仿宋" w:hAnsi="仿宋" w:eastAsia="仿宋" w:cs="仿宋"/>
          <w:b/>
          <w:bCs/>
          <w:color w:val="auto"/>
          <w:spacing w:val="12"/>
          <w:sz w:val="32"/>
          <w:szCs w:val="32"/>
          <w:highlight w:val="none"/>
        </w:rPr>
      </w:pPr>
    </w:p>
    <w:p>
      <w:pPr>
        <w:pStyle w:val="3"/>
        <w:pageBreakBefore w:val="0"/>
        <w:kinsoku/>
        <w:overflowPunct/>
        <w:bidi w:val="0"/>
        <w:jc w:val="center"/>
        <w:outlineLvl w:val="9"/>
        <w:rPr>
          <w:rFonts w:hint="eastAsia" w:ascii="仿宋" w:hAnsi="仿宋" w:eastAsia="仿宋" w:cs="仿宋"/>
          <w:color w:val="auto"/>
          <w:spacing w:val="12"/>
          <w:sz w:val="44"/>
          <w:szCs w:val="44"/>
          <w:highlight w:val="none"/>
        </w:rPr>
      </w:pPr>
      <w:r>
        <w:rPr>
          <w:rFonts w:hint="eastAsia" w:ascii="仿宋" w:hAnsi="仿宋" w:eastAsia="仿宋" w:cs="仿宋"/>
          <w:b/>
          <w:bCs/>
          <w:color w:val="auto"/>
          <w:spacing w:val="12"/>
          <w:sz w:val="40"/>
          <w:szCs w:val="40"/>
          <w:highlight w:val="none"/>
          <w:lang w:eastAsia="zh-CN"/>
        </w:rPr>
        <w:t>（</w:t>
      </w:r>
      <w:r>
        <w:rPr>
          <w:rFonts w:hint="eastAsia" w:ascii="仿宋" w:hAnsi="仿宋" w:eastAsia="仿宋" w:cs="仿宋"/>
          <w:b/>
          <w:bCs/>
          <w:color w:val="auto"/>
          <w:spacing w:val="12"/>
          <w:sz w:val="40"/>
          <w:szCs w:val="40"/>
          <w:highlight w:val="none"/>
          <w:lang w:val="en-US" w:eastAsia="zh-CN"/>
        </w:rPr>
        <w:t>项目名称</w:t>
      </w:r>
      <w:r>
        <w:rPr>
          <w:rFonts w:hint="eastAsia" w:ascii="仿宋" w:hAnsi="仿宋" w:eastAsia="仿宋" w:cs="仿宋"/>
          <w:b/>
          <w:bCs/>
          <w:color w:val="auto"/>
          <w:spacing w:val="12"/>
          <w:sz w:val="40"/>
          <w:szCs w:val="40"/>
          <w:highlight w:val="none"/>
          <w:lang w:eastAsia="zh-CN"/>
        </w:rPr>
        <w:t>）</w:t>
      </w:r>
    </w:p>
    <w:p>
      <w:pPr>
        <w:pStyle w:val="3"/>
        <w:pageBreakBefore w:val="0"/>
        <w:kinsoku/>
        <w:overflowPunct/>
        <w:bidi w:val="0"/>
        <w:outlineLvl w:val="9"/>
        <w:rPr>
          <w:rFonts w:hint="eastAsia" w:ascii="仿宋" w:hAnsi="仿宋" w:eastAsia="仿宋" w:cs="仿宋"/>
          <w:color w:val="auto"/>
          <w:spacing w:val="12"/>
          <w:sz w:val="44"/>
          <w:szCs w:val="44"/>
          <w:highlight w:val="none"/>
        </w:rPr>
      </w:pPr>
    </w:p>
    <w:p>
      <w:pPr>
        <w:pStyle w:val="3"/>
        <w:pageBreakBefore w:val="0"/>
        <w:kinsoku/>
        <w:overflowPunct/>
        <w:bidi w:val="0"/>
        <w:outlineLvl w:val="9"/>
        <w:rPr>
          <w:rFonts w:hint="eastAsia" w:ascii="仿宋" w:hAnsi="仿宋" w:eastAsia="仿宋" w:cs="仿宋"/>
          <w:color w:val="auto"/>
          <w:spacing w:val="12"/>
          <w:sz w:val="44"/>
          <w:szCs w:val="44"/>
          <w:highlight w:val="none"/>
        </w:rPr>
      </w:pPr>
    </w:p>
    <w:p>
      <w:pPr>
        <w:pStyle w:val="3"/>
        <w:pageBreakBefore w:val="0"/>
        <w:kinsoku/>
        <w:overflowPunct/>
        <w:bidi w:val="0"/>
        <w:outlineLvl w:val="9"/>
        <w:rPr>
          <w:rFonts w:hint="eastAsia" w:ascii="仿宋" w:hAnsi="仿宋" w:eastAsia="仿宋" w:cs="仿宋"/>
          <w:color w:val="auto"/>
          <w:spacing w:val="12"/>
          <w:sz w:val="44"/>
          <w:szCs w:val="44"/>
          <w:highlight w:val="none"/>
        </w:rPr>
      </w:pPr>
    </w:p>
    <w:p>
      <w:pPr>
        <w:rPr>
          <w:rFonts w:hint="eastAsia" w:ascii="仿宋" w:hAnsi="仿宋" w:eastAsia="仿宋" w:cs="仿宋"/>
        </w:rPr>
      </w:pPr>
    </w:p>
    <w:p>
      <w:pPr>
        <w:pageBreakBefore w:val="0"/>
        <w:kinsoku/>
        <w:overflowPunct/>
        <w:bidi w:val="0"/>
        <w:jc w:val="center"/>
        <w:outlineLvl w:val="9"/>
        <w:rPr>
          <w:rFonts w:hint="eastAsia" w:ascii="仿宋" w:hAnsi="仿宋" w:eastAsia="仿宋" w:cs="仿宋"/>
          <w:b/>
          <w:bCs/>
          <w:color w:val="auto"/>
          <w:spacing w:val="12"/>
          <w:sz w:val="56"/>
          <w:szCs w:val="56"/>
          <w:highlight w:val="none"/>
        </w:rPr>
      </w:pPr>
      <w:r>
        <w:rPr>
          <w:rFonts w:hint="eastAsia" w:ascii="仿宋" w:hAnsi="仿宋" w:eastAsia="仿宋" w:cs="仿宋"/>
          <w:b/>
          <w:bCs/>
          <w:color w:val="auto"/>
          <w:spacing w:val="12"/>
          <w:sz w:val="56"/>
          <w:szCs w:val="56"/>
          <w:highlight w:val="none"/>
        </w:rPr>
        <w:t>政府采购合同书</w:t>
      </w:r>
    </w:p>
    <w:p>
      <w:pPr>
        <w:pageBreakBefore w:val="0"/>
        <w:kinsoku/>
        <w:overflowPunct/>
        <w:bidi w:val="0"/>
        <w:outlineLvl w:val="9"/>
        <w:rPr>
          <w:rFonts w:hint="eastAsia" w:ascii="仿宋" w:hAnsi="仿宋" w:eastAsia="仿宋" w:cs="仿宋"/>
          <w:color w:val="auto"/>
          <w:spacing w:val="12"/>
          <w:sz w:val="44"/>
          <w:szCs w:val="44"/>
          <w:highlight w:val="none"/>
        </w:rPr>
      </w:pPr>
      <w:r>
        <w:rPr>
          <w:rFonts w:hint="eastAsia" w:ascii="仿宋" w:hAnsi="仿宋" w:eastAsia="仿宋" w:cs="仿宋"/>
          <w:color w:val="auto"/>
          <w:spacing w:val="12"/>
          <w:sz w:val="32"/>
          <w:szCs w:val="32"/>
          <w:highlight w:val="none"/>
        </w:rPr>
        <w:t xml:space="preserve">                   </w:t>
      </w:r>
    </w:p>
    <w:p>
      <w:pPr>
        <w:pageBreakBefore w:val="0"/>
        <w:kinsoku/>
        <w:overflowPunct/>
        <w:bidi w:val="0"/>
        <w:outlineLvl w:val="9"/>
        <w:rPr>
          <w:rFonts w:hint="eastAsia" w:ascii="仿宋" w:hAnsi="仿宋" w:eastAsia="仿宋" w:cs="仿宋"/>
          <w:color w:val="auto"/>
          <w:spacing w:val="12"/>
          <w:sz w:val="32"/>
          <w:szCs w:val="32"/>
          <w:highlight w:val="none"/>
          <w:u w:val="single"/>
        </w:rPr>
      </w:pPr>
    </w:p>
    <w:p>
      <w:pPr>
        <w:pageBreakBefore w:val="0"/>
        <w:kinsoku/>
        <w:overflowPunct/>
        <w:bidi w:val="0"/>
        <w:outlineLvl w:val="9"/>
        <w:rPr>
          <w:rFonts w:hint="eastAsia" w:ascii="仿宋" w:hAnsi="仿宋" w:eastAsia="仿宋" w:cs="仿宋"/>
          <w:color w:val="auto"/>
          <w:spacing w:val="12"/>
          <w:sz w:val="32"/>
          <w:szCs w:val="32"/>
          <w:highlight w:val="none"/>
          <w:u w:val="single"/>
        </w:rPr>
      </w:pPr>
    </w:p>
    <w:p>
      <w:pPr>
        <w:pStyle w:val="2"/>
        <w:rPr>
          <w:rFonts w:hint="eastAsia" w:ascii="仿宋" w:hAnsi="仿宋" w:eastAsia="仿宋" w:cs="仿宋"/>
          <w:color w:val="auto"/>
          <w:spacing w:val="12"/>
          <w:sz w:val="32"/>
          <w:szCs w:val="32"/>
          <w:highlight w:val="none"/>
          <w:u w:val="single"/>
        </w:rPr>
      </w:pPr>
    </w:p>
    <w:p>
      <w:pPr>
        <w:rPr>
          <w:rFonts w:hint="eastAsia" w:ascii="仿宋" w:hAnsi="仿宋" w:eastAsia="仿宋" w:cs="仿宋"/>
        </w:rPr>
      </w:pPr>
    </w:p>
    <w:p>
      <w:pPr>
        <w:pageBreakBefore w:val="0"/>
        <w:kinsoku/>
        <w:overflowPunct/>
        <w:bidi w:val="0"/>
        <w:outlineLvl w:val="9"/>
        <w:rPr>
          <w:rFonts w:hint="eastAsia" w:ascii="仿宋" w:hAnsi="仿宋" w:eastAsia="仿宋" w:cs="仿宋"/>
          <w:color w:val="auto"/>
          <w:spacing w:val="12"/>
          <w:sz w:val="32"/>
          <w:szCs w:val="32"/>
          <w:highlight w:val="none"/>
          <w:u w:val="single"/>
        </w:rPr>
      </w:pPr>
    </w:p>
    <w:p>
      <w:pPr>
        <w:pStyle w:val="3"/>
        <w:pageBreakBefore w:val="0"/>
        <w:kinsoku/>
        <w:overflowPunct/>
        <w:bidi w:val="0"/>
        <w:ind w:firstLine="0"/>
        <w:outlineLvl w:val="9"/>
        <w:rPr>
          <w:rFonts w:hint="eastAsia" w:ascii="仿宋" w:hAnsi="仿宋" w:eastAsia="仿宋" w:cs="仿宋"/>
          <w:color w:val="auto"/>
          <w:highlight w:val="none"/>
        </w:rPr>
      </w:pPr>
    </w:p>
    <w:p>
      <w:pPr>
        <w:pageBreakBefore w:val="0"/>
        <w:kinsoku/>
        <w:overflowPunct/>
        <w:bidi w:val="0"/>
        <w:ind w:firstLine="1726" w:firstLineChars="500"/>
        <w:outlineLvl w:val="9"/>
        <w:rPr>
          <w:rFonts w:hint="eastAsia" w:ascii="仿宋" w:hAnsi="仿宋" w:eastAsia="仿宋" w:cs="仿宋"/>
          <w:b/>
          <w:bCs/>
          <w:color w:val="auto"/>
          <w:spacing w:val="12"/>
          <w:sz w:val="32"/>
          <w:szCs w:val="32"/>
          <w:highlight w:val="none"/>
        </w:rPr>
      </w:pPr>
      <w:r>
        <w:rPr>
          <w:rFonts w:hint="eastAsia" w:ascii="仿宋" w:hAnsi="仿宋" w:eastAsia="仿宋" w:cs="仿宋"/>
          <w:b/>
          <w:bCs/>
          <w:color w:val="auto"/>
          <w:spacing w:val="12"/>
          <w:sz w:val="32"/>
          <w:szCs w:val="32"/>
          <w:highlight w:val="none"/>
        </w:rPr>
        <w:t>采购人：</w:t>
      </w:r>
    </w:p>
    <w:p>
      <w:pPr>
        <w:pageBreakBefore w:val="0"/>
        <w:kinsoku/>
        <w:overflowPunct/>
        <w:bidi w:val="0"/>
        <w:ind w:firstLine="1726" w:firstLineChars="500"/>
        <w:outlineLvl w:val="9"/>
        <w:rPr>
          <w:rFonts w:hint="eastAsia" w:ascii="仿宋" w:hAnsi="仿宋" w:eastAsia="仿宋" w:cs="仿宋"/>
          <w:b/>
          <w:bCs/>
          <w:color w:val="auto"/>
          <w:spacing w:val="12"/>
          <w:sz w:val="32"/>
          <w:szCs w:val="32"/>
          <w:highlight w:val="none"/>
        </w:rPr>
      </w:pPr>
      <w:r>
        <w:rPr>
          <w:rFonts w:hint="eastAsia" w:ascii="仿宋" w:hAnsi="仿宋" w:eastAsia="仿宋" w:cs="仿宋"/>
          <w:b/>
          <w:bCs/>
          <w:color w:val="auto"/>
          <w:spacing w:val="12"/>
          <w:sz w:val="32"/>
          <w:szCs w:val="32"/>
          <w:highlight w:val="none"/>
          <w:lang w:val="en-US" w:eastAsia="zh-CN"/>
        </w:rPr>
        <w:t>供应商</w:t>
      </w:r>
      <w:r>
        <w:rPr>
          <w:rFonts w:hint="eastAsia" w:ascii="仿宋" w:hAnsi="仿宋" w:eastAsia="仿宋" w:cs="仿宋"/>
          <w:b/>
          <w:bCs/>
          <w:color w:val="auto"/>
          <w:spacing w:val="12"/>
          <w:sz w:val="32"/>
          <w:szCs w:val="32"/>
          <w:highlight w:val="none"/>
        </w:rPr>
        <w:t>：</w:t>
      </w:r>
    </w:p>
    <w:p>
      <w:pPr>
        <w:pStyle w:val="2"/>
        <w:pageBreakBefore w:val="0"/>
        <w:kinsoku/>
        <w:overflowPunct/>
        <w:bidi w:val="0"/>
        <w:outlineLvl w:val="9"/>
        <w:rPr>
          <w:rFonts w:hint="eastAsia" w:ascii="仿宋" w:hAnsi="仿宋" w:eastAsia="仿宋" w:cs="仿宋"/>
          <w:b/>
          <w:bCs/>
          <w:color w:val="auto"/>
          <w:spacing w:val="12"/>
          <w:sz w:val="32"/>
          <w:szCs w:val="32"/>
          <w:highlight w:val="none"/>
        </w:rPr>
      </w:pPr>
    </w:p>
    <w:p>
      <w:pPr>
        <w:keepNext w:val="0"/>
        <w:keepLines w:val="0"/>
        <w:pageBreakBefore w:val="0"/>
        <w:widowControl w:val="0"/>
        <w:kinsoku/>
        <w:wordWrap/>
        <w:overflowPunct/>
        <w:topLinePunct w:val="0"/>
        <w:bidi w:val="0"/>
        <w:spacing w:line="52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r>
        <w:rPr>
          <w:rFonts w:hint="eastAsia" w:ascii="仿宋" w:hAnsi="仿宋" w:eastAsia="仿宋" w:cs="仿宋"/>
          <w:color w:val="auto"/>
          <w:sz w:val="24"/>
          <w:highlight w:val="none"/>
        </w:rPr>
        <w:t>根据</w:t>
      </w:r>
      <w:r>
        <w:rPr>
          <w:rFonts w:hint="eastAsia" w:ascii="仿宋" w:hAnsi="仿宋" w:eastAsia="仿宋" w:cs="仿宋"/>
          <w:bCs/>
          <w:color w:val="auto"/>
          <w:spacing w:val="8"/>
          <w:sz w:val="24"/>
          <w:highlight w:val="none"/>
          <w:u w:val="single"/>
          <w:lang w:val="en-US" w:eastAsia="zh-CN"/>
        </w:rPr>
        <w:t xml:space="preserve">     （项目名称）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的采购结果，按照《中华人民共和国政府采购法》、《中华人民共和国民法典》等规定，经双方协商，本着平等互利和诚实信用的原则，一致同意签订本合同如下。</w:t>
      </w:r>
    </w:p>
    <w:p>
      <w:pPr>
        <w:keepNext w:val="0"/>
        <w:keepLines w:val="0"/>
        <w:pageBreakBefore w:val="0"/>
        <w:widowControl w:val="0"/>
        <w:kinsoku/>
        <w:wordWrap/>
        <w:overflowPunct/>
        <w:topLinePunct w:val="0"/>
        <w:bidi w:val="0"/>
        <w:spacing w:line="520" w:lineRule="exact"/>
        <w:ind w:firstLine="482" w:firstLineChars="200"/>
        <w:textAlignment w:val="auto"/>
        <w:outlineLvl w:val="9"/>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一、合同文件及工作内容</w:t>
      </w:r>
    </w:p>
    <w:p>
      <w:pPr>
        <w:keepNext w:val="0"/>
        <w:keepLines w:val="0"/>
        <w:pageBreakBefore w:val="0"/>
        <w:widowControl w:val="0"/>
        <w:kinsoku/>
        <w:wordWrap/>
        <w:overflowPunct/>
        <w:topLinePunct w:val="0"/>
        <w:bidi w:val="0"/>
        <w:spacing w:line="520" w:lineRule="exact"/>
        <w:ind w:firstLine="480" w:firstLineChars="200"/>
        <w:textAlignment w:val="auto"/>
        <w:outlineLvl w:val="9"/>
        <w:rPr>
          <w:rFonts w:hint="eastAsia" w:ascii="仿宋" w:hAnsi="仿宋" w:eastAsia="仿宋" w:cs="仿宋"/>
          <w:color w:val="auto"/>
          <w:sz w:val="24"/>
          <w:highlight w:val="none"/>
        </w:rPr>
      </w:pPr>
      <w:bookmarkStart w:id="0" w:name="_Toc9090"/>
      <w:r>
        <w:rPr>
          <w:rFonts w:hint="eastAsia" w:ascii="仿宋" w:hAnsi="仿宋" w:eastAsia="仿宋" w:cs="仿宋"/>
          <w:color w:val="auto"/>
          <w:sz w:val="24"/>
          <w:highlight w:val="none"/>
        </w:rPr>
        <w:t>1.协议书条款；</w:t>
      </w:r>
    </w:p>
    <w:p>
      <w:pPr>
        <w:keepNext w:val="0"/>
        <w:keepLines w:val="0"/>
        <w:pageBreakBefore w:val="0"/>
        <w:widowControl w:val="0"/>
        <w:kinsoku/>
        <w:wordWrap/>
        <w:overflowPunct/>
        <w:topLinePunct w:val="0"/>
        <w:bidi w:val="0"/>
        <w:spacing w:line="52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en-US" w:eastAsia="zh-CN"/>
        </w:rPr>
        <w:t>磋商文件</w:t>
      </w:r>
      <w:r>
        <w:rPr>
          <w:rFonts w:hint="eastAsia" w:ascii="仿宋" w:hAnsi="仿宋" w:eastAsia="仿宋" w:cs="仿宋"/>
          <w:color w:val="auto"/>
          <w:sz w:val="24"/>
          <w:highlight w:val="none"/>
        </w:rPr>
        <w:t>；</w:t>
      </w:r>
    </w:p>
    <w:p>
      <w:pPr>
        <w:keepNext w:val="0"/>
        <w:keepLines w:val="0"/>
        <w:pageBreakBefore w:val="0"/>
        <w:widowControl w:val="0"/>
        <w:kinsoku/>
        <w:wordWrap/>
        <w:overflowPunct/>
        <w:topLinePunct w:val="0"/>
        <w:bidi w:val="0"/>
        <w:spacing w:line="52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r>
        <w:rPr>
          <w:rFonts w:hint="eastAsia" w:ascii="仿宋" w:hAnsi="仿宋" w:eastAsia="仿宋" w:cs="仿宋"/>
          <w:color w:val="auto"/>
          <w:sz w:val="24"/>
          <w:highlight w:val="none"/>
          <w:lang w:val="en-US" w:eastAsia="zh-CN"/>
        </w:rPr>
        <w:t>响应文件</w:t>
      </w:r>
      <w:r>
        <w:rPr>
          <w:rFonts w:hint="eastAsia" w:ascii="仿宋" w:hAnsi="仿宋" w:eastAsia="仿宋" w:cs="仿宋"/>
          <w:color w:val="auto"/>
          <w:sz w:val="24"/>
          <w:highlight w:val="none"/>
        </w:rPr>
        <w:t>；</w:t>
      </w:r>
    </w:p>
    <w:p>
      <w:pPr>
        <w:keepNext w:val="0"/>
        <w:keepLines w:val="0"/>
        <w:pageBreakBefore w:val="0"/>
        <w:widowControl w:val="0"/>
        <w:kinsoku/>
        <w:wordWrap/>
        <w:overflowPunct/>
        <w:topLinePunct w:val="0"/>
        <w:bidi w:val="0"/>
        <w:spacing w:line="52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4.</w:t>
      </w:r>
      <w:r>
        <w:rPr>
          <w:rFonts w:hint="eastAsia" w:ascii="仿宋" w:hAnsi="仿宋" w:eastAsia="仿宋" w:cs="仿宋"/>
          <w:color w:val="auto"/>
          <w:sz w:val="24"/>
          <w:highlight w:val="none"/>
          <w:lang w:val="en-US" w:eastAsia="zh-CN"/>
        </w:rPr>
        <w:t>成交通知书</w:t>
      </w:r>
      <w:r>
        <w:rPr>
          <w:rFonts w:hint="eastAsia" w:ascii="仿宋" w:hAnsi="仿宋" w:eastAsia="仿宋" w:cs="仿宋"/>
          <w:color w:val="auto"/>
          <w:sz w:val="24"/>
          <w:highlight w:val="none"/>
        </w:rPr>
        <w:t>；</w:t>
      </w:r>
    </w:p>
    <w:p>
      <w:pPr>
        <w:keepNext w:val="0"/>
        <w:keepLines w:val="0"/>
        <w:pageBreakBefore w:val="0"/>
        <w:widowControl w:val="0"/>
        <w:kinsoku/>
        <w:wordWrap/>
        <w:overflowPunct/>
        <w:topLinePunct w:val="0"/>
        <w:bidi w:val="0"/>
        <w:spacing w:line="52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5.其他。</w:t>
      </w:r>
    </w:p>
    <w:p>
      <w:pPr>
        <w:keepNext w:val="0"/>
        <w:keepLines w:val="0"/>
        <w:pageBreakBefore w:val="0"/>
        <w:widowControl w:val="0"/>
        <w:kinsoku/>
        <w:wordWrap/>
        <w:overflowPunct/>
        <w:topLinePunct w:val="0"/>
        <w:bidi w:val="0"/>
        <w:spacing w:line="52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上述所指合同文件应认为是互相补充和解释的，但是有模棱两可或互相矛盾之处，以其所列内容顺序为准。</w:t>
      </w:r>
    </w:p>
    <w:p>
      <w:pPr>
        <w:keepNext w:val="0"/>
        <w:keepLines w:val="0"/>
        <w:pageBreakBefore w:val="0"/>
        <w:widowControl w:val="0"/>
        <w:kinsoku/>
        <w:wordWrap/>
        <w:overflowPunct/>
        <w:topLinePunct w:val="0"/>
        <w:bidi w:val="0"/>
        <w:spacing w:line="520" w:lineRule="exact"/>
        <w:ind w:firstLine="480" w:firstLineChars="200"/>
        <w:textAlignment w:val="auto"/>
        <w:outlineLvl w:val="9"/>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合同工作内容：</w:t>
      </w:r>
      <w:r>
        <w:rPr>
          <w:rFonts w:hint="eastAsia" w:ascii="仿宋" w:hAnsi="仿宋" w:eastAsia="仿宋" w:cs="仿宋"/>
          <w:bCs/>
          <w:color w:val="auto"/>
          <w:spacing w:val="8"/>
          <w:sz w:val="24"/>
          <w:highlight w:val="none"/>
          <w:u w:val="single"/>
          <w:lang w:val="en-US" w:eastAsia="zh-CN"/>
        </w:rPr>
        <w:t xml:space="preserve">           </w:t>
      </w:r>
    </w:p>
    <w:p>
      <w:pPr>
        <w:keepNext w:val="0"/>
        <w:keepLines w:val="0"/>
        <w:pageBreakBefore w:val="0"/>
        <w:widowControl w:val="0"/>
        <w:kinsoku/>
        <w:wordWrap/>
        <w:overflowPunct/>
        <w:topLinePunct w:val="0"/>
        <w:bidi w:val="0"/>
        <w:spacing w:line="520" w:lineRule="exact"/>
        <w:ind w:firstLine="482" w:firstLineChars="200"/>
        <w:textAlignment w:val="auto"/>
        <w:outlineLvl w:val="9"/>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二、合同价款</w:t>
      </w:r>
      <w:bookmarkEnd w:id="0"/>
    </w:p>
    <w:p>
      <w:pPr>
        <w:keepNext w:val="0"/>
        <w:keepLines w:val="0"/>
        <w:pageBreakBefore w:val="0"/>
        <w:widowControl w:val="0"/>
        <w:kinsoku/>
        <w:wordWrap/>
        <w:overflowPunct/>
        <w:topLinePunct w:val="0"/>
        <w:bidi w:val="0"/>
        <w:spacing w:line="52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w:t>
      </w:r>
      <w:r>
        <w:rPr>
          <w:rFonts w:hint="eastAsia" w:ascii="仿宋" w:hAnsi="仿宋" w:eastAsia="仿宋" w:cs="仿宋"/>
          <w:bCs/>
          <w:color w:val="auto"/>
          <w:spacing w:val="8"/>
          <w:sz w:val="24"/>
          <w:highlight w:val="none"/>
        </w:rPr>
        <w:t>合同总价款（人民币）：大写</w:t>
      </w:r>
      <w:r>
        <w:rPr>
          <w:rFonts w:hint="eastAsia" w:ascii="仿宋" w:hAnsi="仿宋" w:eastAsia="仿宋" w:cs="仿宋"/>
          <w:bCs/>
          <w:color w:val="auto"/>
          <w:spacing w:val="8"/>
          <w:sz w:val="24"/>
          <w:highlight w:val="none"/>
          <w:u w:val="single"/>
          <w:lang w:val="en-US" w:eastAsia="zh-CN"/>
        </w:rPr>
        <w:t xml:space="preserve">           </w:t>
      </w:r>
      <w:r>
        <w:rPr>
          <w:rFonts w:hint="eastAsia" w:ascii="仿宋" w:hAnsi="仿宋" w:eastAsia="仿宋" w:cs="仿宋"/>
          <w:bCs/>
          <w:color w:val="auto"/>
          <w:spacing w:val="8"/>
          <w:sz w:val="24"/>
          <w:highlight w:val="none"/>
        </w:rPr>
        <w:t>；小写</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元。</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480" w:firstLineChars="200"/>
        <w:jc w:val="both"/>
        <w:textAlignment w:val="auto"/>
        <w:outlineLvl w:val="9"/>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lang w:eastAsia="zh-CN"/>
        </w:rPr>
        <w:t>合同总价款是指本次工作所有内容，包括但不限于</w:t>
      </w:r>
      <w:r>
        <w:rPr>
          <w:rFonts w:hint="eastAsia" w:ascii="仿宋" w:hAnsi="仿宋" w:eastAsia="仿宋" w:cs="仿宋"/>
          <w:color w:val="auto"/>
          <w:sz w:val="24"/>
          <w:highlight w:val="none"/>
          <w:lang w:val="en-US" w:eastAsia="zh-CN"/>
        </w:rPr>
        <w:t>人工费、验收费、管理费、税金、利润等</w:t>
      </w:r>
      <w:r>
        <w:rPr>
          <w:rFonts w:hint="eastAsia" w:ascii="仿宋" w:hAnsi="仿宋" w:eastAsia="仿宋" w:cs="仿宋"/>
          <w:color w:val="auto"/>
          <w:sz w:val="24"/>
          <w:highlight w:val="none"/>
          <w:lang w:eastAsia="zh-CN"/>
        </w:rPr>
        <w:t>各种费用及必要的保险费用。</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480" w:firstLineChars="200"/>
        <w:jc w:val="both"/>
        <w:textAlignment w:val="auto"/>
        <w:outlineLvl w:val="9"/>
        <w:rPr>
          <w:rFonts w:hint="eastAsia" w:ascii="仿宋" w:hAnsi="仿宋" w:eastAsia="仿宋" w:cs="仿宋"/>
          <w:b/>
          <w:color w:val="auto"/>
          <w:sz w:val="24"/>
          <w:highlight w:val="none"/>
        </w:rPr>
      </w:pP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lang w:eastAsia="zh-CN"/>
        </w:rPr>
        <w:t>合同总价一次性包死，不受市场价格变化因素的影响。</w:t>
      </w:r>
      <w:bookmarkStart w:id="1" w:name="_Toc5628"/>
    </w:p>
    <w:p>
      <w:pPr>
        <w:keepNext w:val="0"/>
        <w:keepLines w:val="0"/>
        <w:pageBreakBefore w:val="0"/>
        <w:widowControl w:val="0"/>
        <w:kinsoku/>
        <w:wordWrap/>
        <w:overflowPunct/>
        <w:topLinePunct w:val="0"/>
        <w:bidi w:val="0"/>
        <w:spacing w:line="520" w:lineRule="exact"/>
        <w:ind w:firstLine="482" w:firstLineChars="200"/>
        <w:textAlignment w:val="auto"/>
        <w:outlineLvl w:val="9"/>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三、款项结算</w:t>
      </w:r>
      <w:bookmarkEnd w:id="1"/>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480" w:firstLineChars="200"/>
        <w:jc w:val="both"/>
        <w:textAlignment w:val="auto"/>
        <w:outlineLvl w:val="9"/>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lang w:eastAsia="zh-CN"/>
        </w:rPr>
        <w:t>项目经费分三期拨付：</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480" w:firstLineChars="200"/>
        <w:jc w:val="both"/>
        <w:textAlignment w:val="auto"/>
        <w:outlineLvl w:val="9"/>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第一期：双方签订服务合同后，支付合同总金额的 50%；</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480" w:firstLineChars="200"/>
        <w:jc w:val="both"/>
        <w:textAlignment w:val="auto"/>
        <w:outlineLvl w:val="9"/>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 xml:space="preserve">第二期：项目中期评估合格后，支付合同总金额的 30%；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480" w:firstLineChars="200"/>
        <w:jc w:val="both"/>
        <w:textAlignment w:val="auto"/>
        <w:outlineLvl w:val="9"/>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第三期：项目末期评估合格后，支付合同总金额的 20%。</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480" w:firstLineChars="200"/>
        <w:jc w:val="both"/>
        <w:textAlignment w:val="auto"/>
        <w:outlineLvl w:val="9"/>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 xml:space="preserve">如项目评估不合格，则当期资金不予拨付或暂缓拨付，待整改合格后再行拨付。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480" w:firstLineChars="200"/>
        <w:jc w:val="both"/>
        <w:textAlignment w:val="auto"/>
        <w:outlineLvl w:val="9"/>
        <w:rPr>
          <w:rFonts w:hint="eastAsia" w:ascii="楷体" w:hAnsi="楷体" w:eastAsia="楷体" w:cs="楷体"/>
          <w:sz w:val="28"/>
          <w:szCs w:val="28"/>
        </w:rPr>
      </w:pPr>
      <w:r>
        <w:rPr>
          <w:rFonts w:hint="eastAsia" w:ascii="仿宋" w:hAnsi="仿宋" w:eastAsia="仿宋" w:cs="仿宋"/>
          <w:color w:val="auto"/>
          <w:sz w:val="24"/>
          <w:highlight w:val="none"/>
          <w:lang w:eastAsia="zh-CN"/>
        </w:rPr>
        <w:t>项目资金拨付均以区财政局支付流程实际时限为准。</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480" w:firstLineChars="200"/>
        <w:jc w:val="both"/>
        <w:textAlignment w:val="auto"/>
        <w:outlineLvl w:val="9"/>
        <w:rPr>
          <w:rFonts w:hint="eastAsia"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val="en-US" w:eastAsia="zh-CN"/>
        </w:rPr>
        <w:t>2.结算方式：银行转账。</w:t>
      </w:r>
    </w:p>
    <w:p>
      <w:pPr>
        <w:keepNext w:val="0"/>
        <w:keepLines w:val="0"/>
        <w:pageBreakBefore w:val="0"/>
        <w:widowControl w:val="0"/>
        <w:kinsoku/>
        <w:wordWrap/>
        <w:overflowPunct/>
        <w:topLinePunct w:val="0"/>
        <w:bidi w:val="0"/>
        <w:spacing w:line="520" w:lineRule="exact"/>
        <w:ind w:firstLine="482" w:firstLineChars="200"/>
        <w:textAlignment w:val="auto"/>
        <w:outlineLvl w:val="9"/>
        <w:rPr>
          <w:rFonts w:hint="eastAsia" w:ascii="仿宋" w:hAnsi="仿宋" w:eastAsia="仿宋" w:cs="仿宋"/>
          <w:b/>
          <w:color w:val="auto"/>
          <w:sz w:val="24"/>
          <w:highlight w:val="none"/>
        </w:rPr>
      </w:pPr>
      <w:bookmarkStart w:id="2" w:name="_Toc12029"/>
      <w:r>
        <w:rPr>
          <w:rFonts w:hint="eastAsia" w:ascii="仿宋" w:hAnsi="仿宋" w:eastAsia="仿宋" w:cs="仿宋"/>
          <w:b/>
          <w:color w:val="auto"/>
          <w:sz w:val="24"/>
          <w:highlight w:val="none"/>
        </w:rPr>
        <w:t>四、服务地点、</w:t>
      </w:r>
      <w:bookmarkEnd w:id="2"/>
      <w:r>
        <w:rPr>
          <w:rFonts w:hint="eastAsia" w:ascii="仿宋" w:hAnsi="仿宋" w:eastAsia="仿宋" w:cs="仿宋"/>
          <w:b/>
          <w:color w:val="auto"/>
          <w:sz w:val="24"/>
          <w:highlight w:val="none"/>
        </w:rPr>
        <w:t>服务周期及合同履行期限</w:t>
      </w:r>
    </w:p>
    <w:p>
      <w:pPr>
        <w:keepNext w:val="0"/>
        <w:keepLines w:val="0"/>
        <w:pageBreakBefore w:val="0"/>
        <w:widowControl w:val="0"/>
        <w:kinsoku/>
        <w:wordWrap/>
        <w:overflowPunct/>
        <w:topLinePunct w:val="0"/>
        <w:bidi w:val="0"/>
        <w:spacing w:line="52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服务地点：</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w:t>
      </w:r>
    </w:p>
    <w:p>
      <w:pPr>
        <w:keepNext w:val="0"/>
        <w:keepLines w:val="0"/>
        <w:pageBreakBefore w:val="0"/>
        <w:widowControl w:val="0"/>
        <w:kinsoku/>
        <w:wordWrap/>
        <w:overflowPunct/>
        <w:topLinePunct w:val="0"/>
        <w:bidi w:val="0"/>
        <w:spacing w:line="52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2.</w:t>
      </w:r>
      <w:r>
        <w:rPr>
          <w:rFonts w:hint="eastAsia" w:ascii="仿宋" w:hAnsi="仿宋" w:eastAsia="仿宋" w:cs="仿宋"/>
          <w:color w:val="auto"/>
          <w:kern w:val="0"/>
          <w:sz w:val="24"/>
          <w:highlight w:val="none"/>
        </w:rPr>
        <w:t>服务</w:t>
      </w:r>
      <w:r>
        <w:rPr>
          <w:rFonts w:hint="eastAsia" w:ascii="仿宋" w:hAnsi="仿宋" w:eastAsia="仿宋" w:cs="仿宋"/>
          <w:color w:val="auto"/>
          <w:kern w:val="0"/>
          <w:sz w:val="24"/>
          <w:highlight w:val="none"/>
          <w:lang w:val="en-US" w:eastAsia="zh-CN"/>
        </w:rPr>
        <w:t>期限</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w:t>
      </w:r>
    </w:p>
    <w:p>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outlineLvl w:val="9"/>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五、技术资料</w:t>
      </w:r>
    </w:p>
    <w:p>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outlineLvl w:val="9"/>
        <w:rPr>
          <w:rFonts w:hint="eastAsia" w:ascii="仿宋" w:hAnsi="仿宋" w:eastAsia="仿宋" w:cs="仿宋"/>
          <w:color w:val="auto"/>
          <w:kern w:val="0"/>
          <w:sz w:val="24"/>
          <w:szCs w:val="21"/>
          <w:highlight w:val="none"/>
        </w:rPr>
      </w:pPr>
      <w:r>
        <w:rPr>
          <w:rFonts w:hint="eastAsia" w:ascii="仿宋" w:hAnsi="仿宋" w:eastAsia="仿宋" w:cs="仿宋"/>
          <w:color w:val="auto"/>
          <w:kern w:val="0"/>
          <w:sz w:val="24"/>
          <w:szCs w:val="21"/>
          <w:highlight w:val="none"/>
        </w:rPr>
        <w:t>1.</w:t>
      </w:r>
      <w:r>
        <w:rPr>
          <w:rFonts w:hint="eastAsia" w:ascii="仿宋" w:hAnsi="仿宋" w:eastAsia="仿宋" w:cs="仿宋"/>
          <w:color w:val="auto"/>
          <w:kern w:val="0"/>
          <w:sz w:val="24"/>
          <w:szCs w:val="21"/>
          <w:highlight w:val="none"/>
          <w:lang w:val="en-US" w:eastAsia="zh-CN"/>
        </w:rPr>
        <w:t>供应商</w:t>
      </w:r>
      <w:r>
        <w:rPr>
          <w:rFonts w:hint="eastAsia" w:ascii="仿宋" w:hAnsi="仿宋" w:eastAsia="仿宋" w:cs="仿宋"/>
          <w:color w:val="auto"/>
          <w:kern w:val="0"/>
          <w:sz w:val="24"/>
          <w:szCs w:val="21"/>
          <w:highlight w:val="none"/>
        </w:rPr>
        <w:t>应按</w:t>
      </w:r>
      <w:r>
        <w:rPr>
          <w:rFonts w:hint="eastAsia" w:ascii="仿宋" w:hAnsi="仿宋" w:eastAsia="仿宋" w:cs="仿宋"/>
          <w:color w:val="auto"/>
          <w:kern w:val="0"/>
          <w:sz w:val="24"/>
          <w:szCs w:val="21"/>
          <w:highlight w:val="none"/>
          <w:lang w:val="en-US" w:eastAsia="zh-CN"/>
        </w:rPr>
        <w:t>磋商文件</w:t>
      </w:r>
      <w:r>
        <w:rPr>
          <w:rFonts w:hint="eastAsia" w:ascii="仿宋" w:hAnsi="仿宋" w:eastAsia="仿宋" w:cs="仿宋"/>
          <w:color w:val="auto"/>
          <w:kern w:val="0"/>
          <w:sz w:val="24"/>
          <w:szCs w:val="21"/>
          <w:highlight w:val="none"/>
        </w:rPr>
        <w:t>规定的时间向采购人提供完成项目的有关服务资料。</w:t>
      </w:r>
    </w:p>
    <w:p>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outlineLvl w:val="9"/>
        <w:rPr>
          <w:rFonts w:hint="eastAsia" w:ascii="仿宋" w:hAnsi="仿宋" w:eastAsia="仿宋" w:cs="仿宋"/>
          <w:color w:val="auto"/>
          <w:kern w:val="0"/>
          <w:sz w:val="24"/>
          <w:szCs w:val="21"/>
          <w:highlight w:val="none"/>
        </w:rPr>
      </w:pPr>
      <w:r>
        <w:rPr>
          <w:rFonts w:hint="eastAsia" w:ascii="仿宋" w:hAnsi="仿宋" w:eastAsia="仿宋" w:cs="仿宋"/>
          <w:color w:val="auto"/>
          <w:kern w:val="0"/>
          <w:sz w:val="24"/>
          <w:szCs w:val="21"/>
          <w:highlight w:val="none"/>
        </w:rPr>
        <w:t>2.没有采购人事先书面同意，</w:t>
      </w:r>
      <w:r>
        <w:rPr>
          <w:rFonts w:hint="eastAsia" w:ascii="仿宋" w:hAnsi="仿宋" w:eastAsia="仿宋" w:cs="仿宋"/>
          <w:color w:val="auto"/>
          <w:kern w:val="0"/>
          <w:sz w:val="24"/>
          <w:szCs w:val="21"/>
          <w:highlight w:val="none"/>
          <w:lang w:val="en-US" w:eastAsia="zh-CN"/>
        </w:rPr>
        <w:t>供应商</w:t>
      </w:r>
      <w:r>
        <w:rPr>
          <w:rFonts w:hint="eastAsia" w:ascii="仿宋" w:hAnsi="仿宋" w:eastAsia="仿宋" w:cs="仿宋"/>
          <w:color w:val="auto"/>
          <w:kern w:val="0"/>
          <w:sz w:val="24"/>
          <w:szCs w:val="21"/>
          <w:highlight w:val="none"/>
        </w:rPr>
        <w:t>不得将由采购人提供的有关合同或任何合同条文或资料</w:t>
      </w:r>
      <w:r>
        <w:rPr>
          <w:rFonts w:hint="eastAsia" w:ascii="仿宋" w:hAnsi="仿宋" w:eastAsia="仿宋" w:cs="仿宋"/>
          <w:color w:val="auto"/>
          <w:kern w:val="0"/>
          <w:sz w:val="24"/>
          <w:szCs w:val="21"/>
          <w:highlight w:val="none"/>
          <w:lang w:val="en-US" w:eastAsia="zh-CN"/>
        </w:rPr>
        <w:t>等</w:t>
      </w:r>
      <w:r>
        <w:rPr>
          <w:rFonts w:hint="eastAsia" w:ascii="仿宋" w:hAnsi="仿宋" w:eastAsia="仿宋" w:cs="仿宋"/>
          <w:color w:val="auto"/>
          <w:kern w:val="0"/>
          <w:sz w:val="24"/>
          <w:szCs w:val="21"/>
          <w:highlight w:val="none"/>
        </w:rPr>
        <w:t>提供给与履行本合同无关的任何其他人。即使向履行本合同有关的人员提供，也应注意保密并限于履行合同的必需范围。</w:t>
      </w:r>
    </w:p>
    <w:p>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outlineLvl w:val="9"/>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六、技术情报的保密</w:t>
      </w:r>
    </w:p>
    <w:p>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outlineLvl w:val="9"/>
        <w:rPr>
          <w:rFonts w:hint="eastAsia" w:ascii="仿宋" w:hAnsi="仿宋" w:eastAsia="仿宋" w:cs="仿宋"/>
          <w:color w:val="auto"/>
          <w:kern w:val="0"/>
          <w:sz w:val="24"/>
          <w:szCs w:val="21"/>
          <w:highlight w:val="none"/>
        </w:rPr>
      </w:pPr>
      <w:r>
        <w:rPr>
          <w:rFonts w:hint="eastAsia" w:ascii="仿宋" w:hAnsi="仿宋" w:eastAsia="仿宋" w:cs="仿宋"/>
          <w:color w:val="auto"/>
          <w:kern w:val="0"/>
          <w:sz w:val="24"/>
          <w:szCs w:val="21"/>
          <w:highlight w:val="none"/>
        </w:rPr>
        <w:t>1.采购人、</w:t>
      </w:r>
      <w:r>
        <w:rPr>
          <w:rFonts w:hint="eastAsia" w:ascii="仿宋" w:hAnsi="仿宋" w:eastAsia="仿宋" w:cs="仿宋"/>
          <w:color w:val="auto"/>
          <w:kern w:val="0"/>
          <w:sz w:val="24"/>
          <w:szCs w:val="21"/>
          <w:highlight w:val="none"/>
          <w:lang w:val="en-US" w:eastAsia="zh-CN"/>
        </w:rPr>
        <w:t>供应商</w:t>
      </w:r>
      <w:r>
        <w:rPr>
          <w:rFonts w:hint="eastAsia" w:ascii="仿宋" w:hAnsi="仿宋" w:eastAsia="仿宋" w:cs="仿宋"/>
          <w:color w:val="auto"/>
          <w:kern w:val="0"/>
          <w:sz w:val="24"/>
          <w:szCs w:val="21"/>
          <w:highlight w:val="none"/>
        </w:rPr>
        <w:t>双方商定，</w:t>
      </w:r>
      <w:r>
        <w:rPr>
          <w:rFonts w:hint="eastAsia" w:ascii="仿宋" w:hAnsi="仿宋" w:eastAsia="仿宋" w:cs="仿宋"/>
          <w:color w:val="auto"/>
          <w:kern w:val="0"/>
          <w:sz w:val="24"/>
          <w:szCs w:val="21"/>
          <w:highlight w:val="none"/>
          <w:lang w:val="en-US" w:eastAsia="zh-CN"/>
        </w:rPr>
        <w:t>供应商</w:t>
      </w:r>
      <w:r>
        <w:rPr>
          <w:rFonts w:hint="eastAsia" w:ascii="仿宋" w:hAnsi="仿宋" w:eastAsia="仿宋" w:cs="仿宋"/>
          <w:color w:val="auto"/>
          <w:kern w:val="0"/>
          <w:sz w:val="24"/>
          <w:szCs w:val="21"/>
          <w:highlight w:val="none"/>
        </w:rPr>
        <w:t>取得的所有原始技术资料在工作结束后交还采购人，供应商不得对外泄露。</w:t>
      </w:r>
    </w:p>
    <w:p>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outlineLvl w:val="9"/>
        <w:rPr>
          <w:rFonts w:hint="eastAsia" w:ascii="仿宋" w:hAnsi="仿宋" w:eastAsia="仿宋" w:cs="仿宋"/>
          <w:color w:val="auto"/>
          <w:kern w:val="0"/>
          <w:sz w:val="24"/>
          <w:szCs w:val="21"/>
          <w:highlight w:val="none"/>
        </w:rPr>
      </w:pPr>
      <w:r>
        <w:rPr>
          <w:rFonts w:hint="eastAsia" w:ascii="仿宋" w:hAnsi="仿宋" w:eastAsia="仿宋" w:cs="仿宋"/>
          <w:color w:val="auto"/>
          <w:kern w:val="0"/>
          <w:sz w:val="24"/>
          <w:szCs w:val="21"/>
          <w:highlight w:val="none"/>
        </w:rPr>
        <w:t>2.</w:t>
      </w:r>
      <w:r>
        <w:rPr>
          <w:rFonts w:hint="eastAsia" w:ascii="仿宋" w:hAnsi="仿宋" w:eastAsia="仿宋" w:cs="仿宋"/>
          <w:color w:val="auto"/>
          <w:kern w:val="0"/>
          <w:sz w:val="24"/>
          <w:szCs w:val="21"/>
          <w:highlight w:val="none"/>
          <w:lang w:val="en-US" w:eastAsia="zh-CN"/>
        </w:rPr>
        <w:t>相关资料</w:t>
      </w:r>
      <w:r>
        <w:rPr>
          <w:rFonts w:hint="eastAsia" w:ascii="仿宋" w:hAnsi="仿宋" w:eastAsia="仿宋" w:cs="仿宋"/>
          <w:color w:val="auto"/>
          <w:kern w:val="0"/>
          <w:sz w:val="24"/>
          <w:szCs w:val="21"/>
          <w:highlight w:val="none"/>
        </w:rPr>
        <w:t>涉及国家秘密的，</w:t>
      </w:r>
      <w:r>
        <w:rPr>
          <w:rFonts w:hint="eastAsia" w:ascii="仿宋" w:hAnsi="仿宋" w:eastAsia="仿宋" w:cs="仿宋"/>
          <w:color w:val="auto"/>
          <w:kern w:val="0"/>
          <w:sz w:val="24"/>
          <w:szCs w:val="21"/>
          <w:highlight w:val="none"/>
          <w:lang w:val="en-US" w:eastAsia="zh-CN"/>
        </w:rPr>
        <w:t>供应商</w:t>
      </w:r>
      <w:r>
        <w:rPr>
          <w:rFonts w:hint="eastAsia" w:ascii="仿宋" w:hAnsi="仿宋" w:eastAsia="仿宋" w:cs="仿宋"/>
          <w:color w:val="auto"/>
          <w:kern w:val="0"/>
          <w:sz w:val="24"/>
          <w:szCs w:val="21"/>
          <w:highlight w:val="none"/>
        </w:rPr>
        <w:t>应严格遵守国家《保密法》及有关保密规定，履行有关保密程序，</w:t>
      </w:r>
      <w:r>
        <w:rPr>
          <w:rFonts w:hint="eastAsia" w:ascii="仿宋" w:hAnsi="仿宋" w:eastAsia="仿宋" w:cs="仿宋"/>
          <w:color w:val="auto"/>
          <w:kern w:val="0"/>
          <w:sz w:val="24"/>
          <w:szCs w:val="21"/>
          <w:highlight w:val="none"/>
          <w:lang w:val="en-US" w:eastAsia="zh-CN"/>
        </w:rPr>
        <w:t>供应商</w:t>
      </w:r>
      <w:r>
        <w:rPr>
          <w:rFonts w:hint="eastAsia" w:ascii="仿宋" w:hAnsi="仿宋" w:eastAsia="仿宋" w:cs="仿宋"/>
          <w:color w:val="auto"/>
          <w:kern w:val="0"/>
          <w:sz w:val="24"/>
          <w:szCs w:val="21"/>
          <w:highlight w:val="none"/>
        </w:rPr>
        <w:t>涉密人员上岗应当经过保密教育培训，掌握保密知识技能，签订保密承诺书，严格遵守保密规章制度，不得泄露国家秘密。</w:t>
      </w:r>
    </w:p>
    <w:p>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outlineLvl w:val="9"/>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七、转让或分包</w:t>
      </w:r>
    </w:p>
    <w:p>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lang w:eastAsia="zh-CN"/>
        </w:rPr>
      </w:pPr>
      <w:r>
        <w:rPr>
          <w:rFonts w:hint="eastAsia" w:ascii="仿宋" w:hAnsi="仿宋" w:eastAsia="仿宋" w:cs="仿宋"/>
          <w:color w:val="auto"/>
          <w:kern w:val="0"/>
          <w:sz w:val="24"/>
          <w:highlight w:val="none"/>
        </w:rPr>
        <w:t>1.本合同范围的项目服务内容，应由</w:t>
      </w:r>
      <w:r>
        <w:rPr>
          <w:rFonts w:hint="eastAsia" w:ascii="仿宋" w:hAnsi="仿宋" w:eastAsia="仿宋" w:cs="仿宋"/>
          <w:color w:val="auto"/>
          <w:kern w:val="0"/>
          <w:sz w:val="24"/>
          <w:szCs w:val="21"/>
          <w:highlight w:val="none"/>
          <w:lang w:val="en-US" w:eastAsia="zh-CN"/>
        </w:rPr>
        <w:t>供应商</w:t>
      </w:r>
      <w:r>
        <w:rPr>
          <w:rFonts w:hint="eastAsia" w:ascii="仿宋" w:hAnsi="仿宋" w:eastAsia="仿宋" w:cs="仿宋"/>
          <w:color w:val="auto"/>
          <w:kern w:val="0"/>
          <w:sz w:val="24"/>
          <w:highlight w:val="none"/>
        </w:rPr>
        <w:t>直接服务，不得转让他人</w:t>
      </w:r>
      <w:r>
        <w:rPr>
          <w:rFonts w:hint="eastAsia" w:ascii="仿宋" w:hAnsi="仿宋" w:eastAsia="仿宋" w:cs="仿宋"/>
          <w:color w:val="auto"/>
          <w:kern w:val="0"/>
          <w:sz w:val="24"/>
          <w:highlight w:val="none"/>
          <w:lang w:eastAsia="zh-CN"/>
        </w:rPr>
        <w:t>。</w:t>
      </w:r>
    </w:p>
    <w:p>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2.如有转让和未经采购人同意的分包行为，采购人有权解除合同，并追究</w:t>
      </w:r>
      <w:r>
        <w:rPr>
          <w:rFonts w:hint="eastAsia" w:ascii="仿宋" w:hAnsi="仿宋" w:eastAsia="仿宋" w:cs="仿宋"/>
          <w:color w:val="auto"/>
          <w:kern w:val="0"/>
          <w:sz w:val="24"/>
          <w:szCs w:val="21"/>
          <w:highlight w:val="none"/>
          <w:lang w:val="en-US" w:eastAsia="zh-CN"/>
        </w:rPr>
        <w:t>供应商</w:t>
      </w:r>
      <w:r>
        <w:rPr>
          <w:rFonts w:hint="eastAsia" w:ascii="仿宋" w:hAnsi="仿宋" w:eastAsia="仿宋" w:cs="仿宋"/>
          <w:color w:val="auto"/>
          <w:kern w:val="0"/>
          <w:sz w:val="24"/>
          <w:highlight w:val="none"/>
        </w:rPr>
        <w:t>的违约责任。</w:t>
      </w:r>
    </w:p>
    <w:p>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outlineLvl w:val="9"/>
        <w:rPr>
          <w:rFonts w:hint="eastAsia" w:ascii="仿宋" w:hAnsi="仿宋" w:eastAsia="仿宋" w:cs="仿宋"/>
          <w:b/>
          <w:color w:val="auto"/>
          <w:kern w:val="0"/>
          <w:sz w:val="24"/>
          <w:highlight w:val="none"/>
        </w:rPr>
      </w:pPr>
      <w:bookmarkStart w:id="3" w:name="_Toc28452"/>
      <w:r>
        <w:rPr>
          <w:rFonts w:hint="eastAsia" w:ascii="仿宋" w:hAnsi="仿宋" w:eastAsia="仿宋" w:cs="仿宋"/>
          <w:b/>
          <w:color w:val="auto"/>
          <w:kern w:val="0"/>
          <w:sz w:val="24"/>
          <w:highlight w:val="none"/>
        </w:rPr>
        <w:t>八、采购人的权利及义务</w:t>
      </w:r>
      <w:bookmarkEnd w:id="3"/>
    </w:p>
    <w:p>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（一）采购人的权利</w:t>
      </w:r>
    </w:p>
    <w:p>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1．采购人有权向</w:t>
      </w:r>
      <w:r>
        <w:rPr>
          <w:rFonts w:hint="eastAsia" w:ascii="仿宋" w:hAnsi="仿宋" w:eastAsia="仿宋" w:cs="仿宋"/>
          <w:color w:val="auto"/>
          <w:kern w:val="0"/>
          <w:sz w:val="24"/>
          <w:highlight w:val="none"/>
          <w:lang w:val="en-US" w:eastAsia="zh-CN"/>
        </w:rPr>
        <w:t>供应商</w:t>
      </w:r>
      <w:r>
        <w:rPr>
          <w:rFonts w:hint="eastAsia" w:ascii="仿宋" w:hAnsi="仿宋" w:eastAsia="仿宋" w:cs="仿宋"/>
          <w:color w:val="auto"/>
          <w:kern w:val="0"/>
          <w:sz w:val="24"/>
          <w:highlight w:val="none"/>
        </w:rPr>
        <w:t>询问工作进展情况及相关的内容。</w:t>
      </w:r>
    </w:p>
    <w:p>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2．采购人有权阐述对具体问题的意见和建议。</w:t>
      </w:r>
    </w:p>
    <w:p>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 当采购人认定</w:t>
      </w:r>
      <w:r>
        <w:rPr>
          <w:rFonts w:hint="eastAsia" w:ascii="仿宋" w:hAnsi="仿宋" w:eastAsia="仿宋" w:cs="仿宋"/>
          <w:color w:val="auto"/>
          <w:kern w:val="0"/>
          <w:sz w:val="24"/>
          <w:highlight w:val="none"/>
          <w:lang w:val="en-US" w:eastAsia="zh-CN"/>
        </w:rPr>
        <w:t>供应商</w:t>
      </w:r>
      <w:r>
        <w:rPr>
          <w:rFonts w:hint="eastAsia" w:ascii="仿宋" w:hAnsi="仿宋" w:eastAsia="仿宋" w:cs="仿宋"/>
          <w:color w:val="auto"/>
          <w:kern w:val="0"/>
          <w:sz w:val="24"/>
          <w:highlight w:val="none"/>
        </w:rPr>
        <w:t>专业人员不按合同履行其职责，或与第三人串通给采购人造成经济损失的，采购人有权要求更换专业人员，直至终止合同并要求</w:t>
      </w:r>
      <w:r>
        <w:rPr>
          <w:rFonts w:hint="eastAsia" w:ascii="仿宋" w:hAnsi="仿宋" w:eastAsia="仿宋" w:cs="仿宋"/>
          <w:color w:val="auto"/>
          <w:kern w:val="0"/>
          <w:sz w:val="24"/>
          <w:highlight w:val="none"/>
          <w:lang w:val="en-US" w:eastAsia="zh-CN"/>
        </w:rPr>
        <w:t>供应商</w:t>
      </w:r>
      <w:r>
        <w:rPr>
          <w:rFonts w:hint="eastAsia" w:ascii="仿宋" w:hAnsi="仿宋" w:eastAsia="仿宋" w:cs="仿宋"/>
          <w:color w:val="auto"/>
          <w:kern w:val="0"/>
          <w:sz w:val="24"/>
          <w:highlight w:val="none"/>
        </w:rPr>
        <w:t>承担相应的赔偿责任。</w:t>
      </w:r>
    </w:p>
    <w:p>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（二）采购人的义务</w:t>
      </w:r>
    </w:p>
    <w:p>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采购人应当在约定的时间内，向</w:t>
      </w:r>
      <w:r>
        <w:rPr>
          <w:rFonts w:hint="eastAsia" w:ascii="仿宋" w:hAnsi="仿宋" w:eastAsia="仿宋" w:cs="仿宋"/>
          <w:color w:val="auto"/>
          <w:kern w:val="0"/>
          <w:sz w:val="24"/>
          <w:highlight w:val="none"/>
          <w:lang w:val="en-US" w:eastAsia="zh-CN"/>
        </w:rPr>
        <w:t>供应商</w:t>
      </w:r>
      <w:r>
        <w:rPr>
          <w:rFonts w:hint="eastAsia" w:ascii="仿宋" w:hAnsi="仿宋" w:eastAsia="仿宋" w:cs="仿宋"/>
          <w:color w:val="auto"/>
          <w:kern w:val="0"/>
          <w:sz w:val="24"/>
          <w:highlight w:val="none"/>
        </w:rPr>
        <w:t>提供与本项目实施有关的资料。</w:t>
      </w:r>
    </w:p>
    <w:p>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outlineLvl w:val="9"/>
        <w:rPr>
          <w:rFonts w:hint="eastAsia" w:ascii="仿宋" w:hAnsi="仿宋" w:eastAsia="仿宋" w:cs="仿宋"/>
          <w:b/>
          <w:color w:val="auto"/>
          <w:kern w:val="0"/>
          <w:sz w:val="24"/>
          <w:highlight w:val="none"/>
        </w:rPr>
      </w:pPr>
      <w:bookmarkStart w:id="4" w:name="_Toc14300"/>
      <w:r>
        <w:rPr>
          <w:rFonts w:hint="eastAsia" w:ascii="仿宋" w:hAnsi="仿宋" w:eastAsia="仿宋" w:cs="仿宋"/>
          <w:b/>
          <w:color w:val="auto"/>
          <w:kern w:val="0"/>
          <w:sz w:val="24"/>
          <w:highlight w:val="none"/>
        </w:rPr>
        <w:t>九、</w:t>
      </w:r>
      <w:r>
        <w:rPr>
          <w:rFonts w:hint="eastAsia" w:ascii="仿宋" w:hAnsi="仿宋" w:eastAsia="仿宋" w:cs="仿宋"/>
          <w:b/>
          <w:color w:val="auto"/>
          <w:kern w:val="0"/>
          <w:sz w:val="24"/>
          <w:highlight w:val="none"/>
          <w:lang w:val="en-US" w:eastAsia="zh-CN"/>
        </w:rPr>
        <w:t>供应商</w:t>
      </w:r>
      <w:r>
        <w:rPr>
          <w:rFonts w:hint="eastAsia" w:ascii="仿宋" w:hAnsi="仿宋" w:eastAsia="仿宋" w:cs="仿宋"/>
          <w:b/>
          <w:color w:val="auto"/>
          <w:kern w:val="0"/>
          <w:sz w:val="24"/>
          <w:highlight w:val="none"/>
        </w:rPr>
        <w:t>的权利及义务</w:t>
      </w:r>
      <w:bookmarkEnd w:id="4"/>
    </w:p>
    <w:p>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（一）</w:t>
      </w:r>
      <w:r>
        <w:rPr>
          <w:rFonts w:hint="eastAsia" w:ascii="仿宋" w:hAnsi="仿宋" w:eastAsia="仿宋" w:cs="仿宋"/>
          <w:color w:val="auto"/>
          <w:kern w:val="0"/>
          <w:sz w:val="24"/>
          <w:szCs w:val="21"/>
          <w:highlight w:val="none"/>
          <w:lang w:val="en-US" w:eastAsia="zh-CN"/>
        </w:rPr>
        <w:t>供应商</w:t>
      </w:r>
      <w:r>
        <w:rPr>
          <w:rFonts w:hint="eastAsia" w:ascii="仿宋" w:hAnsi="仿宋" w:eastAsia="仿宋" w:cs="仿宋"/>
          <w:color w:val="auto"/>
          <w:kern w:val="0"/>
          <w:sz w:val="24"/>
          <w:highlight w:val="none"/>
        </w:rPr>
        <w:t>的权利</w:t>
      </w:r>
    </w:p>
    <w:p>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szCs w:val="21"/>
          <w:highlight w:val="none"/>
          <w:lang w:val="en-US" w:eastAsia="zh-CN"/>
        </w:rPr>
        <w:t>供应商</w:t>
      </w:r>
      <w:r>
        <w:rPr>
          <w:rFonts w:hint="eastAsia" w:ascii="仿宋" w:hAnsi="仿宋" w:eastAsia="仿宋" w:cs="仿宋"/>
          <w:color w:val="auto"/>
          <w:kern w:val="0"/>
          <w:sz w:val="24"/>
          <w:highlight w:val="none"/>
        </w:rPr>
        <w:t>在项目实施过程中，如采购人提供的资料不明确时可向采购人提出书面报告。</w:t>
      </w:r>
    </w:p>
    <w:p>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（二）</w:t>
      </w:r>
      <w:r>
        <w:rPr>
          <w:rFonts w:hint="eastAsia" w:ascii="仿宋" w:hAnsi="仿宋" w:eastAsia="仿宋" w:cs="仿宋"/>
          <w:color w:val="auto"/>
          <w:kern w:val="0"/>
          <w:sz w:val="24"/>
          <w:szCs w:val="21"/>
          <w:highlight w:val="none"/>
          <w:lang w:val="en-US" w:eastAsia="zh-CN"/>
        </w:rPr>
        <w:t>供应商</w:t>
      </w:r>
      <w:r>
        <w:rPr>
          <w:rFonts w:hint="eastAsia" w:ascii="仿宋" w:hAnsi="仿宋" w:eastAsia="仿宋" w:cs="仿宋"/>
          <w:color w:val="auto"/>
          <w:kern w:val="0"/>
          <w:sz w:val="24"/>
          <w:highlight w:val="none"/>
        </w:rPr>
        <w:t>的义务</w:t>
      </w:r>
    </w:p>
    <w:p>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1．人员配备合理。有针对本项目的专项服务小组，项目负责人、工作人员分工明确（应有具体成员名单，包括姓名、工作职责等），并按合同约定的范围实施业务。</w:t>
      </w:r>
    </w:p>
    <w:p>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2．应及时向采购人汇报该项目完成进度。</w:t>
      </w:r>
    </w:p>
    <w:p>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3．在履行合同期间或合同规定期限内，不得泄露与本合同规定业务活动有关的保密资料。</w:t>
      </w:r>
    </w:p>
    <w:p>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w:t>
      </w:r>
      <w:r>
        <w:rPr>
          <w:rFonts w:hint="eastAsia" w:ascii="仿宋" w:hAnsi="仿宋" w:eastAsia="仿宋" w:cs="仿宋"/>
          <w:color w:val="auto"/>
          <w:kern w:val="0"/>
          <w:sz w:val="24"/>
          <w:highlight w:val="none"/>
          <w:lang w:val="en-US" w:eastAsia="zh-CN"/>
        </w:rPr>
        <w:t>在</w:t>
      </w:r>
      <w:r>
        <w:rPr>
          <w:rFonts w:hint="eastAsia" w:ascii="仿宋" w:hAnsi="仿宋" w:eastAsia="仿宋" w:cs="仿宋"/>
          <w:color w:val="auto"/>
          <w:kern w:val="0"/>
          <w:sz w:val="24"/>
          <w:highlight w:val="none"/>
        </w:rPr>
        <w:t>工作过程中，如遇采购人所提供的材料有不统一、不明确、不详实之处时，应立即与采购人沟通，不得以此延误时间。</w:t>
      </w:r>
    </w:p>
    <w:p>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outlineLvl w:val="9"/>
        <w:rPr>
          <w:rFonts w:hint="eastAsia" w:ascii="仿宋" w:hAnsi="仿宋" w:eastAsia="仿宋" w:cs="仿宋"/>
          <w:b/>
          <w:color w:val="auto"/>
          <w:kern w:val="0"/>
          <w:sz w:val="24"/>
          <w:highlight w:val="none"/>
          <w:lang w:eastAsia="zh-CN"/>
        </w:rPr>
      </w:pPr>
      <w:bookmarkStart w:id="5" w:name="_Toc534"/>
      <w:r>
        <w:rPr>
          <w:rFonts w:hint="eastAsia" w:ascii="仿宋" w:hAnsi="仿宋" w:eastAsia="仿宋" w:cs="仿宋"/>
          <w:b/>
          <w:color w:val="auto"/>
          <w:kern w:val="0"/>
          <w:sz w:val="24"/>
          <w:highlight w:val="none"/>
        </w:rPr>
        <w:t>十、</w:t>
      </w:r>
      <w:bookmarkEnd w:id="5"/>
      <w:r>
        <w:rPr>
          <w:rFonts w:hint="eastAsia" w:ascii="仿宋" w:hAnsi="仿宋" w:eastAsia="仿宋" w:cs="仿宋"/>
          <w:b/>
          <w:color w:val="auto"/>
          <w:kern w:val="0"/>
          <w:sz w:val="24"/>
          <w:highlight w:val="none"/>
        </w:rPr>
        <w:t>质量标准</w:t>
      </w:r>
      <w:r>
        <w:rPr>
          <w:rFonts w:hint="eastAsia" w:ascii="仿宋" w:hAnsi="仿宋" w:eastAsia="仿宋" w:cs="仿宋"/>
          <w:b/>
          <w:color w:val="auto"/>
          <w:kern w:val="0"/>
          <w:sz w:val="24"/>
          <w:highlight w:val="none"/>
          <w:lang w:eastAsia="zh-CN"/>
        </w:rPr>
        <w:t>和知识产权</w:t>
      </w:r>
    </w:p>
    <w:p>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bookmarkStart w:id="6" w:name="_Toc26949"/>
      <w:r>
        <w:rPr>
          <w:rFonts w:hint="eastAsia" w:ascii="仿宋" w:hAnsi="仿宋" w:eastAsia="仿宋" w:cs="仿宋"/>
          <w:color w:val="auto"/>
          <w:kern w:val="0"/>
          <w:sz w:val="24"/>
          <w:highlight w:val="none"/>
          <w:lang w:val="en-US" w:eastAsia="zh-CN"/>
        </w:rPr>
        <w:t>1.质量标准及验收方式：</w:t>
      </w:r>
      <w:r>
        <w:rPr>
          <w:rFonts w:hint="eastAsia" w:ascii="仿宋" w:hAnsi="仿宋" w:eastAsia="仿宋" w:cs="仿宋"/>
          <w:color w:val="auto"/>
          <w:kern w:val="0"/>
          <w:sz w:val="24"/>
          <w:highlight w:val="none"/>
        </w:rPr>
        <w:t>各项具体工作的质量标准和作业规范，按国家标准、行业标准、有关技术规范要求及</w:t>
      </w:r>
      <w:r>
        <w:rPr>
          <w:rFonts w:hint="eastAsia" w:ascii="仿宋" w:hAnsi="仿宋" w:eastAsia="仿宋" w:cs="仿宋"/>
          <w:color w:val="auto"/>
          <w:kern w:val="0"/>
          <w:sz w:val="24"/>
          <w:highlight w:val="none"/>
          <w:lang w:val="en-US" w:eastAsia="zh-CN"/>
        </w:rPr>
        <w:t>磋商</w:t>
      </w:r>
      <w:r>
        <w:rPr>
          <w:rFonts w:hint="eastAsia" w:ascii="仿宋" w:hAnsi="仿宋" w:eastAsia="仿宋" w:cs="仿宋"/>
          <w:color w:val="auto"/>
          <w:kern w:val="0"/>
          <w:sz w:val="24"/>
          <w:highlight w:val="none"/>
        </w:rPr>
        <w:t>文件、</w:t>
      </w:r>
      <w:r>
        <w:rPr>
          <w:rFonts w:hint="eastAsia" w:ascii="仿宋" w:hAnsi="仿宋" w:eastAsia="仿宋" w:cs="仿宋"/>
          <w:color w:val="auto"/>
          <w:kern w:val="0"/>
          <w:sz w:val="24"/>
          <w:highlight w:val="none"/>
          <w:lang w:val="en-US" w:eastAsia="zh-CN"/>
        </w:rPr>
        <w:t>响应</w:t>
      </w:r>
      <w:r>
        <w:rPr>
          <w:rFonts w:hint="eastAsia" w:ascii="仿宋" w:hAnsi="仿宋" w:eastAsia="仿宋" w:cs="仿宋"/>
          <w:color w:val="auto"/>
          <w:kern w:val="0"/>
          <w:sz w:val="24"/>
          <w:highlight w:val="none"/>
        </w:rPr>
        <w:t>文件规定的内容执行。</w:t>
      </w:r>
    </w:p>
    <w:p>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2.知识产权：</w:t>
      </w:r>
      <w:r>
        <w:rPr>
          <w:rFonts w:hint="eastAsia" w:ascii="仿宋" w:hAnsi="仿宋" w:eastAsia="仿宋" w:cs="仿宋"/>
          <w:color w:val="auto"/>
          <w:kern w:val="0"/>
          <w:sz w:val="24"/>
          <w:highlight w:val="none"/>
          <w:lang w:eastAsia="zh-CN"/>
        </w:rPr>
        <w:t>供应商</w:t>
      </w:r>
      <w:r>
        <w:rPr>
          <w:rFonts w:hint="eastAsia" w:ascii="仿宋" w:hAnsi="仿宋" w:eastAsia="仿宋" w:cs="仿宋"/>
          <w:color w:val="auto"/>
          <w:kern w:val="0"/>
          <w:sz w:val="24"/>
          <w:highlight w:val="none"/>
        </w:rPr>
        <w:t>应保证所实施内容涉及到的技术服务不会出现因第三方提出侵犯其知识产权等而引发的法律或经济纠纷，否则由</w:t>
      </w:r>
      <w:r>
        <w:rPr>
          <w:rFonts w:hint="eastAsia" w:ascii="仿宋" w:hAnsi="仿宋" w:eastAsia="仿宋" w:cs="仿宋"/>
          <w:color w:val="auto"/>
          <w:kern w:val="0"/>
          <w:sz w:val="24"/>
          <w:highlight w:val="none"/>
          <w:lang w:eastAsia="zh-CN"/>
        </w:rPr>
        <w:t>供应商</w:t>
      </w:r>
      <w:r>
        <w:rPr>
          <w:rFonts w:hint="eastAsia" w:ascii="仿宋" w:hAnsi="仿宋" w:eastAsia="仿宋" w:cs="仿宋"/>
          <w:color w:val="auto"/>
          <w:kern w:val="0"/>
          <w:sz w:val="24"/>
          <w:highlight w:val="none"/>
        </w:rPr>
        <w:t>承担全部责任。本合同涉及的服务成果的知识产权归甲方所有。</w:t>
      </w:r>
    </w:p>
    <w:p>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outlineLvl w:val="9"/>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十一、违约责任</w:t>
      </w:r>
      <w:bookmarkEnd w:id="6"/>
    </w:p>
    <w:p>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1.供应商未按合同约定提供服务或服务质量不达标的，采购方有权要求限期整改；整改后仍不达标的，有权扣除相应款项或解除合同。</w:t>
      </w:r>
    </w:p>
    <w:p>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2.因供应商原因造成安全事故或服务对象权益受损的，供应商应承担相应法律责任并赔偿损失。</w:t>
      </w:r>
    </w:p>
    <w:p>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 xml:space="preserve">3.采购方未按合同约定支付款项的，应按相关规定承担违约责任。 </w:t>
      </w:r>
    </w:p>
    <w:p>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outlineLvl w:val="9"/>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十二、不可抗力事件处理</w:t>
      </w:r>
    </w:p>
    <w:p>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1.在合同有效期内，任何一方因不可抗力事件导致不能履行合同，则合同履行期可延长，其延长期与不可抗力影响期相同。</w:t>
      </w:r>
    </w:p>
    <w:p>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2.不可抗力事件发生后，应立即通知对方。</w:t>
      </w:r>
    </w:p>
    <w:p>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3.不可抗力事件延续120天以上，双方应通过友好协商，确定是否继续履行合同。</w:t>
      </w:r>
    </w:p>
    <w:p>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outlineLvl w:val="9"/>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十三、诉讼</w:t>
      </w:r>
    </w:p>
    <w:p>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48" w:firstLineChars="200"/>
        <w:jc w:val="left"/>
        <w:textAlignment w:val="auto"/>
        <w:outlineLvl w:val="9"/>
        <w:rPr>
          <w:rFonts w:hint="eastAsia" w:ascii="仿宋" w:hAnsi="仿宋" w:eastAsia="仿宋" w:cs="仿宋"/>
          <w:color w:val="auto"/>
          <w:spacing w:val="-8"/>
          <w:kern w:val="0"/>
          <w:sz w:val="24"/>
          <w:highlight w:val="none"/>
        </w:rPr>
      </w:pPr>
      <w:r>
        <w:rPr>
          <w:rFonts w:hint="eastAsia" w:ascii="仿宋" w:hAnsi="仿宋" w:eastAsia="仿宋" w:cs="仿宋"/>
          <w:color w:val="auto"/>
          <w:spacing w:val="-8"/>
          <w:kern w:val="0"/>
          <w:sz w:val="24"/>
          <w:highlight w:val="none"/>
        </w:rPr>
        <w:t>双方在执行合同中所发生的一切争议，应通过协商解决。如协商不成，可向采购人所在地法院起诉。</w:t>
      </w:r>
    </w:p>
    <w:p>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outlineLvl w:val="9"/>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十四、合同生效及其它</w:t>
      </w:r>
    </w:p>
    <w:p>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1.本合同经采购人、</w:t>
      </w:r>
      <w:r>
        <w:rPr>
          <w:rFonts w:hint="eastAsia" w:ascii="仿宋" w:hAnsi="仿宋" w:eastAsia="仿宋" w:cs="仿宋"/>
          <w:color w:val="auto"/>
          <w:kern w:val="0"/>
          <w:sz w:val="24"/>
          <w:highlight w:val="none"/>
          <w:lang w:val="en-US" w:eastAsia="zh-CN"/>
        </w:rPr>
        <w:t>供应商</w:t>
      </w:r>
      <w:r>
        <w:rPr>
          <w:rFonts w:hint="eastAsia" w:ascii="仿宋" w:hAnsi="仿宋" w:eastAsia="仿宋" w:cs="仿宋"/>
          <w:color w:val="auto"/>
          <w:kern w:val="0"/>
          <w:sz w:val="24"/>
          <w:highlight w:val="none"/>
        </w:rPr>
        <w:t>法定代表人或其委托人签字并加盖公章后生效。</w:t>
      </w:r>
    </w:p>
    <w:p>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48" w:firstLineChars="200"/>
        <w:jc w:val="left"/>
        <w:textAlignment w:val="auto"/>
        <w:outlineLvl w:val="9"/>
        <w:rPr>
          <w:rFonts w:hint="eastAsia" w:ascii="仿宋" w:hAnsi="仿宋" w:eastAsia="仿宋" w:cs="仿宋"/>
          <w:color w:val="auto"/>
          <w:spacing w:val="-8"/>
          <w:kern w:val="0"/>
          <w:sz w:val="24"/>
          <w:highlight w:val="none"/>
        </w:rPr>
      </w:pPr>
      <w:r>
        <w:rPr>
          <w:rFonts w:hint="eastAsia" w:ascii="仿宋" w:hAnsi="仿宋" w:eastAsia="仿宋" w:cs="仿宋"/>
          <w:color w:val="auto"/>
          <w:spacing w:val="-8"/>
          <w:kern w:val="0"/>
          <w:sz w:val="24"/>
          <w:highlight w:val="none"/>
        </w:rPr>
        <w:t>2.本合同一式</w:t>
      </w:r>
      <w:r>
        <w:rPr>
          <w:rFonts w:hint="eastAsia" w:ascii="仿宋" w:hAnsi="仿宋" w:eastAsia="仿宋" w:cs="仿宋"/>
          <w:color w:val="auto"/>
          <w:spacing w:val="-8"/>
          <w:kern w:val="0"/>
          <w:sz w:val="24"/>
          <w:highlight w:val="none"/>
          <w:lang w:val="en-US" w:eastAsia="zh-CN"/>
        </w:rPr>
        <w:t>陆</w:t>
      </w:r>
      <w:r>
        <w:rPr>
          <w:rFonts w:hint="eastAsia" w:ascii="仿宋" w:hAnsi="仿宋" w:eastAsia="仿宋" w:cs="仿宋"/>
          <w:color w:val="auto"/>
          <w:spacing w:val="-8"/>
          <w:kern w:val="0"/>
          <w:sz w:val="24"/>
          <w:highlight w:val="none"/>
        </w:rPr>
        <w:t>份，采购人、</w:t>
      </w:r>
      <w:r>
        <w:rPr>
          <w:rFonts w:hint="eastAsia" w:ascii="仿宋" w:hAnsi="仿宋" w:eastAsia="仿宋" w:cs="仿宋"/>
          <w:color w:val="auto"/>
          <w:kern w:val="0"/>
          <w:sz w:val="24"/>
          <w:highlight w:val="none"/>
          <w:lang w:val="en-US" w:eastAsia="zh-CN"/>
        </w:rPr>
        <w:t>供应商</w:t>
      </w:r>
      <w:r>
        <w:rPr>
          <w:rFonts w:hint="eastAsia" w:ascii="仿宋" w:hAnsi="仿宋" w:eastAsia="仿宋" w:cs="仿宋"/>
          <w:color w:val="auto"/>
          <w:spacing w:val="-8"/>
          <w:kern w:val="0"/>
          <w:sz w:val="24"/>
          <w:highlight w:val="none"/>
        </w:rPr>
        <w:t>各执</w:t>
      </w:r>
      <w:r>
        <w:rPr>
          <w:rFonts w:hint="eastAsia" w:ascii="仿宋" w:hAnsi="仿宋" w:eastAsia="仿宋" w:cs="仿宋"/>
          <w:color w:val="auto"/>
          <w:spacing w:val="-8"/>
          <w:kern w:val="0"/>
          <w:sz w:val="24"/>
          <w:highlight w:val="none"/>
          <w:lang w:val="en-US" w:eastAsia="zh-CN"/>
        </w:rPr>
        <w:t>贰</w:t>
      </w:r>
      <w:r>
        <w:rPr>
          <w:rFonts w:hint="eastAsia" w:ascii="仿宋" w:hAnsi="仿宋" w:eastAsia="仿宋" w:cs="仿宋"/>
          <w:color w:val="auto"/>
          <w:spacing w:val="-8"/>
          <w:kern w:val="0"/>
          <w:sz w:val="24"/>
          <w:highlight w:val="none"/>
        </w:rPr>
        <w:t>份，其余相关部门各</w:t>
      </w:r>
      <w:r>
        <w:rPr>
          <w:rFonts w:hint="eastAsia" w:ascii="仿宋" w:hAnsi="仿宋" w:eastAsia="仿宋" w:cs="仿宋"/>
          <w:color w:val="auto"/>
          <w:spacing w:val="-8"/>
          <w:kern w:val="0"/>
          <w:sz w:val="24"/>
          <w:highlight w:val="none"/>
          <w:lang w:val="en-US" w:eastAsia="zh-CN"/>
        </w:rPr>
        <w:t>壹</w:t>
      </w:r>
      <w:r>
        <w:rPr>
          <w:rFonts w:hint="eastAsia" w:ascii="仿宋" w:hAnsi="仿宋" w:eastAsia="仿宋" w:cs="仿宋"/>
          <w:color w:val="auto"/>
          <w:spacing w:val="-8"/>
          <w:kern w:val="0"/>
          <w:sz w:val="24"/>
          <w:highlight w:val="none"/>
        </w:rPr>
        <w:t>份。</w:t>
      </w:r>
    </w:p>
    <w:p>
      <w:pPr>
        <w:keepNext w:val="0"/>
        <w:keepLines w:val="0"/>
        <w:pageBreakBefore w:val="0"/>
        <w:widowControl w:val="0"/>
        <w:kinsoku/>
        <w:wordWrap/>
        <w:overflowPunct/>
        <w:topLinePunct w:val="0"/>
        <w:bidi w:val="0"/>
        <w:textAlignment w:val="auto"/>
        <w:outlineLvl w:val="9"/>
        <w:rPr>
          <w:rFonts w:hint="eastAsia" w:ascii="仿宋" w:hAnsi="仿宋" w:eastAsia="仿宋" w:cs="仿宋"/>
          <w:color w:val="auto"/>
          <w:highlight w:val="none"/>
        </w:rPr>
      </w:pPr>
    </w:p>
    <w:p>
      <w:pPr>
        <w:pageBreakBefore w:val="0"/>
        <w:kinsoku/>
        <w:overflowPunct/>
        <w:bidi w:val="0"/>
        <w:spacing w:line="500" w:lineRule="exact"/>
        <w:outlineLvl w:val="9"/>
        <w:rPr>
          <w:rFonts w:hint="eastAsia" w:ascii="仿宋" w:hAnsi="仿宋" w:eastAsia="仿宋" w:cs="仿宋"/>
          <w:color w:val="auto"/>
          <w:sz w:val="24"/>
          <w:highlight w:val="none"/>
        </w:rPr>
      </w:pPr>
    </w:p>
    <w:p>
      <w:pPr>
        <w:pStyle w:val="5"/>
        <w:pageBreakBefore w:val="0"/>
        <w:kinsoku/>
        <w:overflowPunct/>
        <w:bidi w:val="0"/>
        <w:jc w:val="center"/>
        <w:outlineLvl w:val="9"/>
        <w:rPr>
          <w:rFonts w:hint="eastAsia" w:ascii="仿宋" w:hAnsi="仿宋" w:eastAsia="仿宋" w:cs="仿宋"/>
          <w:color w:val="auto"/>
          <w:highlight w:val="none"/>
        </w:rPr>
      </w:pPr>
    </w:p>
    <w:p>
      <w:pPr>
        <w:rPr>
          <w:rFonts w:hint="eastAsia"/>
        </w:rPr>
      </w:pPr>
    </w:p>
    <w:p>
      <w:pPr>
        <w:pStyle w:val="2"/>
        <w:keepNext w:val="0"/>
        <w:keepLines w:val="0"/>
        <w:pageBreakBefore w:val="0"/>
        <w:widowControl w:val="0"/>
        <w:kinsoku/>
        <w:wordWrap/>
        <w:overflowPunct/>
        <w:topLinePunct w:val="0"/>
        <w:autoSpaceDE/>
        <w:autoSpaceDN/>
        <w:bidi w:val="0"/>
        <w:adjustRightInd/>
        <w:snapToGrid/>
        <w:spacing w:line="600" w:lineRule="auto"/>
        <w:ind w:firstLine="240" w:firstLineChars="100"/>
        <w:textAlignment w:val="auto"/>
        <w:outlineLvl w:val="9"/>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lang w:val="en-US" w:eastAsia="zh-CN"/>
        </w:rPr>
        <w:t>甲方</w:t>
      </w:r>
      <w:r>
        <w:rPr>
          <w:rFonts w:hint="eastAsia" w:ascii="仿宋" w:hAnsi="仿宋" w:eastAsia="仿宋" w:cs="仿宋"/>
          <w:color w:val="auto"/>
          <w:kern w:val="0"/>
          <w:szCs w:val="21"/>
          <w:highlight w:val="none"/>
        </w:rPr>
        <w:t xml:space="preserve">（章）：                            </w:t>
      </w:r>
      <w:r>
        <w:rPr>
          <w:rFonts w:hint="eastAsia" w:ascii="仿宋" w:hAnsi="仿宋" w:eastAsia="仿宋" w:cs="仿宋"/>
          <w:color w:val="auto"/>
          <w:kern w:val="0"/>
          <w:szCs w:val="21"/>
          <w:highlight w:val="none"/>
          <w:lang w:val="en-US" w:eastAsia="zh-CN"/>
        </w:rPr>
        <w:t xml:space="preserve">     供应商</w:t>
      </w:r>
      <w:r>
        <w:rPr>
          <w:rFonts w:hint="eastAsia" w:ascii="仿宋" w:hAnsi="仿宋" w:eastAsia="仿宋" w:cs="仿宋"/>
          <w:color w:val="auto"/>
          <w:kern w:val="0"/>
          <w:szCs w:val="21"/>
          <w:highlight w:val="none"/>
        </w:rPr>
        <w:t xml:space="preserve">（章）：         </w:t>
      </w:r>
    </w:p>
    <w:p>
      <w:pPr>
        <w:pStyle w:val="2"/>
        <w:keepNext w:val="0"/>
        <w:keepLines w:val="0"/>
        <w:pageBreakBefore w:val="0"/>
        <w:widowControl w:val="0"/>
        <w:kinsoku/>
        <w:wordWrap/>
        <w:overflowPunct/>
        <w:topLinePunct w:val="0"/>
        <w:autoSpaceDE/>
        <w:autoSpaceDN/>
        <w:bidi w:val="0"/>
        <w:adjustRightInd/>
        <w:snapToGrid/>
        <w:spacing w:line="600" w:lineRule="auto"/>
        <w:ind w:firstLine="240" w:firstLineChars="100"/>
        <w:textAlignment w:val="auto"/>
        <w:outlineLvl w:val="9"/>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法定代表人或委托代理人：                   　</w:t>
      </w:r>
      <w:r>
        <w:rPr>
          <w:rFonts w:hint="eastAsia" w:ascii="仿宋" w:hAnsi="仿宋" w:eastAsia="仿宋" w:cs="仿宋"/>
          <w:color w:val="auto"/>
          <w:kern w:val="0"/>
          <w:szCs w:val="21"/>
          <w:highlight w:val="none"/>
          <w:lang w:val="en-US" w:eastAsia="zh-CN"/>
        </w:rPr>
        <w:t xml:space="preserve"> </w:t>
      </w:r>
      <w:r>
        <w:rPr>
          <w:rFonts w:hint="eastAsia" w:ascii="仿宋" w:hAnsi="仿宋" w:eastAsia="仿宋" w:cs="仿宋"/>
          <w:color w:val="auto"/>
          <w:kern w:val="0"/>
          <w:szCs w:val="21"/>
          <w:highlight w:val="none"/>
        </w:rPr>
        <w:t xml:space="preserve">法定代表人或委托代理人：  </w:t>
      </w:r>
    </w:p>
    <w:p>
      <w:pPr>
        <w:keepNext w:val="0"/>
        <w:keepLines w:val="0"/>
        <w:pageBreakBefore w:val="0"/>
        <w:widowControl w:val="0"/>
        <w:kinsoku/>
        <w:wordWrap/>
        <w:overflowPunct/>
        <w:topLinePunct w:val="0"/>
        <w:autoSpaceDE/>
        <w:autoSpaceDN/>
        <w:bidi w:val="0"/>
        <w:adjustRightInd/>
        <w:snapToGrid/>
        <w:spacing w:line="600" w:lineRule="auto"/>
        <w:ind w:firstLine="720" w:firstLineChars="300"/>
        <w:jc w:val="both"/>
        <w:textAlignment w:val="auto"/>
        <w:outlineLvl w:val="9"/>
        <w:rPr>
          <w:rFonts w:hint="eastAsia" w:ascii="仿宋" w:hAnsi="仿宋" w:eastAsia="仿宋" w:cs="仿宋"/>
          <w:b/>
          <w:bCs/>
          <w:color w:val="auto"/>
          <w:sz w:val="32"/>
          <w:szCs w:val="20"/>
          <w:highlight w:val="none"/>
        </w:rPr>
      </w:pPr>
      <w:r>
        <w:rPr>
          <w:rFonts w:hint="eastAsia" w:ascii="仿宋" w:hAnsi="仿宋" w:eastAsia="仿宋" w:cs="仿宋"/>
          <w:color w:val="auto"/>
          <w:kern w:val="0"/>
          <w:sz w:val="24"/>
          <w:szCs w:val="21"/>
          <w:highlight w:val="none"/>
          <w:lang w:val="en-US" w:eastAsia="zh-CN" w:bidi="ar-SA"/>
        </w:rPr>
        <w:t>年   月   日                                 年   月   日</w:t>
      </w:r>
    </w:p>
    <w:p>
      <w:pPr>
        <w:pStyle w:val="5"/>
        <w:pageBreakBefore w:val="0"/>
        <w:kinsoku/>
        <w:overflowPunct/>
        <w:bidi w:val="0"/>
        <w:jc w:val="center"/>
        <w:outlineLvl w:val="9"/>
        <w:rPr>
          <w:rFonts w:hint="eastAsia" w:ascii="仿宋" w:hAnsi="仿宋" w:eastAsia="仿宋" w:cs="仿宋"/>
          <w:color w:val="auto"/>
          <w:highlight w:val="none"/>
        </w:rPr>
      </w:pPr>
    </w:p>
    <w:p>
      <w:pPr>
        <w:pageBreakBefore w:val="0"/>
        <w:kinsoku/>
        <w:overflowPunct/>
        <w:bidi w:val="0"/>
        <w:outlineLvl w:val="9"/>
        <w:rPr>
          <w:rFonts w:hint="eastAsia" w:ascii="仿宋" w:hAnsi="仿宋" w:eastAsia="仿宋" w:cs="仿宋"/>
          <w:color w:val="auto"/>
          <w:highlight w:val="none"/>
        </w:rPr>
      </w:pPr>
    </w:p>
    <w:p>
      <w:pPr>
        <w:pStyle w:val="2"/>
        <w:pageBreakBefore w:val="0"/>
        <w:kinsoku/>
        <w:overflowPunct/>
        <w:bidi w:val="0"/>
        <w:outlineLvl w:val="9"/>
        <w:rPr>
          <w:rFonts w:hint="eastAsia" w:ascii="仿宋" w:hAnsi="仿宋" w:eastAsia="仿宋" w:cs="仿宋"/>
          <w:color w:val="auto"/>
          <w:highlight w:val="none"/>
        </w:rPr>
      </w:pPr>
    </w:p>
    <w:p>
      <w:pPr>
        <w:rPr>
          <w:rFonts w:hint="eastAsia" w:ascii="仿宋" w:hAnsi="仿宋" w:eastAsia="仿宋" w:cs="仿宋"/>
          <w:color w:val="auto"/>
          <w:highlight w:val="none"/>
        </w:rPr>
      </w:pPr>
    </w:p>
    <w:p>
      <w:pPr>
        <w:pStyle w:val="2"/>
        <w:rPr>
          <w:rFonts w:hint="eastAsia" w:ascii="仿宋" w:hAnsi="仿宋" w:eastAsia="仿宋" w:cs="仿宋"/>
          <w:color w:val="auto"/>
          <w:highlight w:val="none"/>
        </w:rPr>
      </w:pPr>
    </w:p>
    <w:p>
      <w:pPr>
        <w:rPr>
          <w:rFonts w:hint="eastAsia"/>
        </w:rPr>
      </w:pPr>
    </w:p>
    <w:p>
      <w:pPr>
        <w:pageBreakBefore w:val="0"/>
        <w:kinsoku/>
        <w:overflowPunct/>
        <w:bidi w:val="0"/>
        <w:outlineLvl w:val="9"/>
        <w:rPr>
          <w:rFonts w:hint="eastAsia" w:ascii="仿宋" w:hAnsi="仿宋" w:eastAsia="仿宋" w:cs="仿宋"/>
          <w:color w:val="auto"/>
          <w:highlight w:val="none"/>
        </w:rPr>
      </w:pPr>
    </w:p>
    <w:p>
      <w:pPr>
        <w:rPr>
          <w:rFonts w:hint="eastAsia" w:ascii="仿宋" w:hAnsi="仿宋" w:eastAsia="仿宋" w:cs="仿宋"/>
        </w:rPr>
      </w:pPr>
    </w:p>
    <w:p/>
    <w:p/>
    <w:p>
      <w:pPr>
        <w:keepNext w:val="0"/>
        <w:keepLines w:val="0"/>
        <w:pageBreakBefore w:val="0"/>
        <w:widowControl w:val="0"/>
        <w:kinsoku/>
        <w:wordWrap/>
        <w:overflowPunct/>
        <w:topLinePunct w:val="0"/>
        <w:autoSpaceDE/>
        <w:autoSpaceDN/>
        <w:bidi w:val="0"/>
        <w:adjustRightInd w:val="0"/>
        <w:snapToGrid w:val="0"/>
        <w:spacing w:line="520" w:lineRule="exact"/>
        <w:ind w:left="0"/>
        <w:jc w:val="both"/>
        <w:textAlignment w:val="auto"/>
        <w:rPr>
          <w:rFonts w:hint="eastAsia" w:ascii="仿宋" w:hAnsi="仿宋" w:eastAsia="仿宋" w:cs="仿宋"/>
          <w:b/>
          <w:sz w:val="24"/>
          <w:szCs w:val="24"/>
          <w:lang w:val="en-US" w:eastAsia="zh-CN"/>
        </w:rPr>
      </w:pPr>
      <w:r>
        <w:rPr>
          <w:rFonts w:hint="eastAsia" w:ascii="仿宋" w:hAnsi="仿宋" w:eastAsia="仿宋" w:cs="仿宋"/>
          <w:b/>
          <w:sz w:val="24"/>
          <w:szCs w:val="24"/>
          <w:lang w:eastAsia="zh-CN"/>
        </w:rPr>
        <w:t>附件</w:t>
      </w:r>
      <w:r>
        <w:rPr>
          <w:rFonts w:hint="eastAsia" w:ascii="仿宋" w:hAnsi="仿宋" w:eastAsia="仿宋" w:cs="仿宋"/>
          <w:b/>
          <w:sz w:val="24"/>
          <w:szCs w:val="24"/>
          <w:lang w:val="en-US" w:eastAsia="zh-CN"/>
        </w:rPr>
        <w:t>1：</w:t>
      </w:r>
    </w:p>
    <w:p>
      <w:pPr>
        <w:keepNext w:val="0"/>
        <w:keepLines w:val="0"/>
        <w:pageBreakBefore w:val="0"/>
        <w:widowControl w:val="0"/>
        <w:kinsoku/>
        <w:wordWrap/>
        <w:overflowPunct/>
        <w:topLinePunct w:val="0"/>
        <w:autoSpaceDE/>
        <w:autoSpaceDN/>
        <w:bidi w:val="0"/>
        <w:adjustRightInd w:val="0"/>
        <w:snapToGrid w:val="0"/>
        <w:spacing w:line="520" w:lineRule="exact"/>
        <w:ind w:left="0"/>
        <w:jc w:val="center"/>
        <w:textAlignment w:val="auto"/>
        <w:rPr>
          <w:rFonts w:hint="eastAsia" w:ascii="仿宋" w:hAnsi="仿宋" w:eastAsia="仿宋" w:cs="仿宋"/>
          <w:b/>
          <w:sz w:val="24"/>
          <w:szCs w:val="24"/>
        </w:rPr>
      </w:pPr>
      <w:r>
        <w:rPr>
          <w:rFonts w:hint="eastAsia" w:ascii="仿宋" w:hAnsi="仿宋" w:eastAsia="仿宋" w:cs="仿宋"/>
          <w:b/>
          <w:sz w:val="24"/>
          <w:szCs w:val="24"/>
        </w:rPr>
        <w:t>汉台区未成年人保护中心购买服务项目评估标准</w:t>
      </w:r>
    </w:p>
    <w:p>
      <w:pPr>
        <w:keepNext w:val="0"/>
        <w:keepLines w:val="0"/>
        <w:pageBreakBefore w:val="0"/>
        <w:widowControl w:val="0"/>
        <w:kinsoku/>
        <w:wordWrap/>
        <w:overflowPunct/>
        <w:topLinePunct w:val="0"/>
        <w:autoSpaceDE/>
        <w:autoSpaceDN/>
        <w:bidi w:val="0"/>
        <w:adjustRightInd w:val="0"/>
        <w:snapToGrid w:val="0"/>
        <w:spacing w:line="520" w:lineRule="exact"/>
        <w:ind w:left="0"/>
        <w:jc w:val="center"/>
        <w:textAlignment w:val="auto"/>
        <w:rPr>
          <w:rFonts w:hint="eastAsia" w:ascii="仿宋" w:hAnsi="仿宋" w:eastAsia="仿宋" w:cs="仿宋"/>
          <w:b/>
          <w:sz w:val="24"/>
          <w:szCs w:val="24"/>
        </w:rPr>
      </w:pPr>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为规范汉台区未成年人保护中心全方位服务采购项目运行管理，客观、公正、全面考核中标供应商服务履职情况、项目实施成效，依据《未成年人救助保护机构管理暂行办法》及本项目采购需求、项目管理要求，结合项目中期、末期评估工作需要，制定本评估标准。本评估标准总分100分，包含服务质量（60分）、管理制度执行情况（20分）、服务对象满意度（10分）、资金使用规范性（10分）四大核心模块，另设加减分项，评估结果将作为项目经费拨付、后续合作、履约考核的核心依据。</w:t>
      </w:r>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bookmarkStart w:id="7" w:name="heading_0"/>
      <w:r>
        <w:rPr>
          <w:rFonts w:hint="eastAsia" w:ascii="仿宋" w:hAnsi="仿宋" w:eastAsia="仿宋" w:cs="仿宋"/>
          <w:sz w:val="24"/>
          <w:szCs w:val="24"/>
        </w:rPr>
        <w:t>一、服务质量考核标准（60分）</w:t>
      </w:r>
      <w:bookmarkEnd w:id="7"/>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本模块针对项目全部服务内容、人员履职、服务规范、岗位资质、服务时效等进行全方位考核，涵盖保育、餐饮、医疗保健、安保、消防安全、保洁、专车接送七大服务板块，结合人员配置、服务全覆盖、岗位规范等要求细化评分。</w:t>
      </w:r>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bookmarkStart w:id="8" w:name="heading_1"/>
      <w:r>
        <w:rPr>
          <w:rFonts w:hint="eastAsia" w:ascii="仿宋" w:hAnsi="仿宋" w:eastAsia="仿宋" w:cs="仿宋"/>
          <w:sz w:val="24"/>
          <w:szCs w:val="24"/>
        </w:rPr>
        <w:t>（一）保育服务（10分）</w:t>
      </w:r>
      <w:bookmarkEnd w:id="8"/>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1. 人员配置：按要求配置不少于</w:t>
      </w:r>
      <w:r>
        <w:rPr>
          <w:rFonts w:hint="eastAsia" w:ascii="仿宋" w:hAnsi="仿宋" w:eastAsia="仿宋" w:cs="仿宋"/>
          <w:sz w:val="24"/>
          <w:szCs w:val="24"/>
          <w:lang w:val="en-US" w:eastAsia="zh-CN"/>
        </w:rPr>
        <w:t>5</w:t>
      </w:r>
      <w:r>
        <w:rPr>
          <w:rFonts w:hint="eastAsia" w:ascii="仿宋" w:hAnsi="仿宋" w:eastAsia="仿宋" w:cs="仿宋"/>
          <w:sz w:val="24"/>
          <w:szCs w:val="24"/>
        </w:rPr>
        <w:t>名保育人员，人员固定、无随意更换情况，女性未成年人全程由女性工作人员照料，满足24小时轮班值守，节假日、夜间人员在岗到位，配置齐全、排班合理得3分，人员缺岗、排班混乱、女性照料服务不规范的，每次扣1</w:t>
      </w:r>
      <w:r>
        <w:rPr>
          <w:rFonts w:hint="eastAsia" w:ascii="仿宋" w:hAnsi="仿宋" w:eastAsia="仿宋" w:cs="仿宋"/>
          <w:sz w:val="24"/>
          <w:szCs w:val="24"/>
          <w:lang w:eastAsia="zh-CN"/>
        </w:rPr>
        <w:t>分，</w:t>
      </w:r>
      <w:r>
        <w:rPr>
          <w:rFonts w:hint="eastAsia" w:ascii="仿宋" w:hAnsi="仿宋" w:eastAsia="仿宋" w:cs="仿宋"/>
          <w:sz w:val="24"/>
          <w:szCs w:val="24"/>
        </w:rPr>
        <w:t>扣完为止。</w:t>
      </w:r>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2. 岗位资质：所有保育人员持有保育员职业资格证书或</w:t>
      </w:r>
      <w:r>
        <w:rPr>
          <w:rFonts w:hint="eastAsia" w:ascii="仿宋" w:hAnsi="仿宋" w:eastAsia="仿宋" w:cs="仿宋"/>
          <w:sz w:val="24"/>
          <w:szCs w:val="24"/>
          <w:lang w:eastAsia="zh-CN"/>
        </w:rPr>
        <w:t>教</w:t>
      </w:r>
      <w:r>
        <w:rPr>
          <w:rFonts w:hint="eastAsia" w:ascii="仿宋" w:hAnsi="仿宋" w:eastAsia="仿宋" w:cs="仿宋"/>
          <w:sz w:val="24"/>
          <w:szCs w:val="24"/>
        </w:rPr>
        <w:t>师资格证</w:t>
      </w:r>
      <w:r>
        <w:rPr>
          <w:rFonts w:hint="eastAsia" w:ascii="仿宋" w:hAnsi="仿宋" w:eastAsia="仿宋" w:cs="仿宋"/>
          <w:sz w:val="24"/>
          <w:szCs w:val="24"/>
          <w:lang w:eastAsia="zh-CN"/>
        </w:rPr>
        <w:t>书，</w:t>
      </w:r>
      <w:bookmarkStart w:id="9" w:name="OLE_LINK1"/>
      <w:r>
        <w:rPr>
          <w:rFonts w:hint="eastAsia" w:ascii="仿宋" w:hAnsi="仿宋" w:eastAsia="仿宋" w:cs="仿宋"/>
          <w:sz w:val="24"/>
          <w:szCs w:val="24"/>
          <w:lang w:eastAsia="zh-CN"/>
        </w:rPr>
        <w:t>并</w:t>
      </w:r>
      <w:r>
        <w:rPr>
          <w:rFonts w:hint="eastAsia" w:ascii="仿宋" w:hAnsi="仿宋" w:eastAsia="仿宋" w:cs="仿宋"/>
          <w:sz w:val="24"/>
          <w:szCs w:val="24"/>
        </w:rPr>
        <w:t>具备相关从业经验</w:t>
      </w:r>
      <w:bookmarkEnd w:id="9"/>
      <w:r>
        <w:rPr>
          <w:rFonts w:hint="eastAsia" w:ascii="仿宋" w:hAnsi="仿宋" w:eastAsia="仿宋" w:cs="仿宋"/>
          <w:sz w:val="24"/>
          <w:szCs w:val="24"/>
        </w:rPr>
        <w:t>，无无证上岗情况，资质齐全合规得2分，发现1人无证上岗扣2分。</w:t>
      </w:r>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3. 日常服务：规范完成未成年人饮食起居照料、个人卫生清洁、衣物清洗等基础服务，服务细致到位、无敷衍应付情况，记录完整规范得3分，出现服务疏漏、卫生照料不到位、无服务记录的，每次扣0.5分。</w:t>
      </w:r>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4. 增值服务：常态化开展未成年人行为引导、心理抚慰，定期组织文化、体育、娱乐活动，贴合未成年人身心发展需求得2分，未开展相关服务、服务频次不足或无活动记录的，每次扣0.5分，扣完为止。</w:t>
      </w:r>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bookmarkStart w:id="10" w:name="heading_2"/>
      <w:r>
        <w:rPr>
          <w:rFonts w:hint="eastAsia" w:ascii="仿宋" w:hAnsi="仿宋" w:eastAsia="仿宋" w:cs="仿宋"/>
          <w:sz w:val="24"/>
          <w:szCs w:val="24"/>
        </w:rPr>
        <w:t>（二）餐饮服务（10分）</w:t>
      </w:r>
      <w:bookmarkEnd w:id="10"/>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1. 人员与资质：配置不少于</w:t>
      </w:r>
      <w:r>
        <w:rPr>
          <w:rFonts w:hint="eastAsia" w:ascii="仿宋" w:hAnsi="仿宋" w:eastAsia="仿宋" w:cs="仿宋"/>
          <w:sz w:val="24"/>
          <w:szCs w:val="24"/>
          <w:lang w:val="en-US" w:eastAsia="zh-CN"/>
        </w:rPr>
        <w:t>1</w:t>
      </w:r>
      <w:r>
        <w:rPr>
          <w:rFonts w:hint="eastAsia" w:ascii="仿宋" w:hAnsi="仿宋" w:eastAsia="仿宋" w:cs="仿宋"/>
          <w:sz w:val="24"/>
          <w:szCs w:val="24"/>
        </w:rPr>
        <w:t>名餐饮工作人员，全员持有有效健康证，人员固定得</w:t>
      </w:r>
      <w:r>
        <w:rPr>
          <w:rFonts w:hint="eastAsia" w:ascii="仿宋" w:hAnsi="仿宋" w:eastAsia="仿宋" w:cs="仿宋"/>
          <w:sz w:val="24"/>
          <w:szCs w:val="24"/>
          <w:lang w:val="en-US" w:eastAsia="zh-CN"/>
        </w:rPr>
        <w:t>3</w:t>
      </w:r>
      <w:r>
        <w:rPr>
          <w:rFonts w:hint="eastAsia" w:ascii="仿宋" w:hAnsi="仿宋" w:eastAsia="仿宋" w:cs="仿宋"/>
          <w:sz w:val="24"/>
          <w:szCs w:val="24"/>
        </w:rPr>
        <w:t>分，人员不足、无证上岗每人次扣1分。</w:t>
      </w:r>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 食品安全管理：严格落实食品采购、加工、储存安全规范，食材新鲜、分区存放，无食品安全隐患得</w:t>
      </w:r>
      <w:r>
        <w:rPr>
          <w:rFonts w:hint="eastAsia" w:ascii="仿宋" w:hAnsi="仿宋" w:eastAsia="仿宋" w:cs="仿宋"/>
          <w:sz w:val="24"/>
          <w:szCs w:val="24"/>
          <w:lang w:val="en-US" w:eastAsia="zh-CN"/>
        </w:rPr>
        <w:t>4</w:t>
      </w:r>
      <w:r>
        <w:rPr>
          <w:rFonts w:hint="eastAsia" w:ascii="仿宋" w:hAnsi="仿宋" w:eastAsia="仿宋" w:cs="仿宋"/>
          <w:sz w:val="24"/>
          <w:szCs w:val="24"/>
        </w:rPr>
        <w:t>分，发现食材变质、加工不规范、卫生不达标等问题每次扣1分。</w:t>
      </w:r>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 留样与营养管理：严格执行食品留样制度，留样规范、记录完整；根据未成年人成长需求科学搭配膳食、保障营养均衡得3分，未留样、留样不规范、膳食搭配不合理、无营养记录的，每项每次扣0.5分，扣完为止。</w:t>
      </w:r>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bookmarkStart w:id="11" w:name="heading_3"/>
      <w:r>
        <w:rPr>
          <w:rFonts w:hint="eastAsia" w:ascii="仿宋" w:hAnsi="仿宋" w:eastAsia="仿宋" w:cs="仿宋"/>
          <w:sz w:val="24"/>
          <w:szCs w:val="24"/>
        </w:rPr>
        <w:t>（三）医疗保健服务（7分）</w:t>
      </w:r>
      <w:bookmarkEnd w:id="11"/>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1. 人员资质：</w:t>
      </w:r>
      <w:r>
        <w:rPr>
          <w:rFonts w:hint="eastAsia" w:ascii="仿宋" w:hAnsi="仿宋" w:eastAsia="仿宋" w:cs="仿宋"/>
          <w:color w:val="auto"/>
          <w:sz w:val="24"/>
          <w:szCs w:val="24"/>
        </w:rPr>
        <w:t>配置不少于1名专职医务人员，持有有效执业资格证书，持证上岗、在岗在位得2分，人员缺配、无证上岗不得</w:t>
      </w:r>
      <w:r>
        <w:rPr>
          <w:rFonts w:hint="eastAsia" w:ascii="仿宋" w:hAnsi="仿宋" w:eastAsia="仿宋" w:cs="仿宋"/>
          <w:sz w:val="24"/>
          <w:szCs w:val="24"/>
        </w:rPr>
        <w:t>分。</w:t>
      </w:r>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2. 日常健康管理：常态化开展未成年人日常健康监测，做好体温、身体状况记录，规范管理常备药品，药品分类存放、台账清晰、无过期药品得3分，监测记录缺失、药品管理混乱、出现过期药品每次扣1分。</w:t>
      </w:r>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3. 医疗保障服务：及时处置未成年人常见病、轻微不适，主动对接医疗机构落实就医保障；规范完成新接收未成年人健康体检、传染病筛查工作，资料留存完整得2分，未落实相关服务、无记录台账的不得分。</w:t>
      </w:r>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bookmarkStart w:id="12" w:name="heading_4"/>
      <w:r>
        <w:rPr>
          <w:rFonts w:hint="eastAsia" w:ascii="仿宋" w:hAnsi="仿宋" w:eastAsia="仿宋" w:cs="仿宋"/>
          <w:sz w:val="24"/>
          <w:szCs w:val="24"/>
        </w:rPr>
        <w:t>（四）安保服务（8分）</w:t>
      </w:r>
      <w:bookmarkEnd w:id="12"/>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1. 人员配置与资质：配置不少于2名保安人员，实行24小时轮班制，每日值班不少于2人，节假日、夜间巡查人员在岗到位得3分，人员缺岗、值班人数不足每次扣1分。</w:t>
      </w:r>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2. 日常安保管理：严格落实中心出入登记、人员车辆管控、院区秩序维护制度，巡查频次达标、巡查记录完整规范得3分，出现管控疏漏、巡查缺岗、无巡查记录的，每次扣0.5分，扣完为止。</w:t>
      </w:r>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3. 安全教育与应急处置：常态化开展未成年人人身安全、自我保护教育，熟练配合开展突发事件应急处置，流程规范、处置得当得2分，未开展安全教育、应急处置不规范的不得分。</w:t>
      </w:r>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bookmarkStart w:id="13" w:name="heading_5"/>
      <w:r>
        <w:rPr>
          <w:rFonts w:hint="eastAsia" w:ascii="仿宋" w:hAnsi="仿宋" w:eastAsia="仿宋" w:cs="仿宋"/>
          <w:sz w:val="24"/>
          <w:szCs w:val="24"/>
        </w:rPr>
        <w:t>（五）消防安全保障（7分）</w:t>
      </w:r>
      <w:bookmarkEnd w:id="13"/>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1. 人员资质：配置不少于1名专职消防工作人员，持有消防设施操作员有效职业资格证书，持证上岗得2分，人员缺配、无证上岗不得分。</w:t>
      </w:r>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2. 设施与巡查管理：每日开展消防安全巡查，定期检查维护</w:t>
      </w:r>
      <w:bookmarkStart w:id="26" w:name="_GoBack"/>
      <w:bookmarkEnd w:id="26"/>
      <w:r>
        <w:rPr>
          <w:rFonts w:hint="eastAsia" w:ascii="仿宋" w:hAnsi="仿宋" w:eastAsia="仿宋" w:cs="仿宋"/>
          <w:sz w:val="24"/>
          <w:szCs w:val="24"/>
        </w:rPr>
        <w:t>消防设施设备，确保设施完好有效；保障疏散通道、安全出口、消防车通道全程畅通，无堵塞占用情况得3分，巡查记录缺失、设施损坏、通道堵塞每次扣1分。</w:t>
      </w:r>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3. 制度与演练：严格落实消防安全责任制，制定完善的灭火、应急疏散预案，定期组织消防演练，台账资料齐全得2分，无预案、未开展演练、制度落实不到位的不得分。</w:t>
      </w:r>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bookmarkStart w:id="14" w:name="heading_6"/>
      <w:r>
        <w:rPr>
          <w:rFonts w:hint="eastAsia" w:ascii="仿宋" w:hAnsi="仿宋" w:eastAsia="仿宋" w:cs="仿宋"/>
          <w:sz w:val="24"/>
          <w:szCs w:val="24"/>
        </w:rPr>
        <w:t>（六）保洁服务（4分）</w:t>
      </w:r>
      <w:bookmarkEnd w:id="14"/>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1. 人员配置：配置不少于2名保洁人员，人员在岗、排班合理，保障全天候保洁服务得2分，出现人员缺配、服务空档的，每次扣0.5分，扣完为止。</w:t>
      </w:r>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2. 环境卫生管理：中心公共区域、功能区域、生活区域每日清洁、定期消毒，环境卫生干净整洁，垃圾及时清运、无堆积异味，消毒、保洁记录完整得2分，环境卫生不达标、记录缺失每次扣0.5分。</w:t>
      </w:r>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bookmarkStart w:id="15" w:name="heading_7"/>
      <w:r>
        <w:rPr>
          <w:rFonts w:hint="eastAsia" w:ascii="仿宋" w:hAnsi="仿宋" w:eastAsia="仿宋" w:cs="仿宋"/>
          <w:sz w:val="24"/>
          <w:szCs w:val="24"/>
        </w:rPr>
        <w:t>（七）专车接送服务（4分）</w:t>
      </w:r>
      <w:bookmarkEnd w:id="15"/>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1. 人员与资质：配置不少于1名专职司机，持有对应准驾车型驾驶证，驾驶记录良好、无交通违法违规记录得2分，无证驾驶、资质不符、有违规记录不得分。</w:t>
      </w:r>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2. 接送与车辆管理：按时完成未成年人上下学接送服务，无迟到、漏接、错送情况；车辆定期维护保养、安全性能达标，行车安全无事故，接送台账完整得2分，出现接送服务失误、车辆维护不到位、存在安全隐患的，每次扣0.5分，扣完为止。</w:t>
      </w:r>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bookmarkStart w:id="16" w:name="heading_8"/>
      <w:r>
        <w:rPr>
          <w:rFonts w:hint="eastAsia" w:ascii="仿宋" w:hAnsi="仿宋" w:eastAsia="仿宋" w:cs="仿宋"/>
          <w:sz w:val="24"/>
          <w:szCs w:val="24"/>
        </w:rPr>
        <w:t>二、管理制度执行情况（20分）</w:t>
      </w:r>
      <w:bookmarkEnd w:id="16"/>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重点考核供应商制度体系建设、日常管理落实、人员管理、安全管控、档案保密、整改落实等履约管理情况，全面核查项目规范化运行水平。</w:t>
      </w:r>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1. 制度体系建设（4分）：建立健全安全管理、食品安全、应急处置、财务管理、档案管理、信息保密等全套管理制度，制度贴合项目实际、完善规范、公示到位得4分，制度缺失、不完善、未公示的每项扣1分。</w:t>
      </w:r>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2. 安全主体责任落实（3分）：明确项目主要负责人安全管理职责，配备专（兼）职安全管理人员，常态化开展风险排查防控，无安全隐患漏洞得3分，职责不清、无人管控、存在安全隐患的不得分。</w:t>
      </w:r>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3. 24小时值班巡查制度（4分）：严格执行24小时值班巡查机制，每日值班人数不少于2人，节假日、夜间重点巡查，巡查记录真实、完整、可追溯，无脱岗、漏巡情况得4分，出现脱岗、漏巡、记录造假、记录缺失每次扣1分。</w:t>
      </w:r>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4. 人员规范化管理（4分）：所有工作人员无违法犯罪记录，岗前核查到位；人员相对固定，核心岗位人员变动提前10个工作日书面报备，普通人员变动及时报备；每年开展不少于4次全员专项培训（职业道德、未成年人保护法规、安全知识、应急处置等），培训台账齐全得4分，未开展背景核查、人员随意变动、培训频次不足、无培训记录的每项扣1分。</w:t>
      </w:r>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5. 档案与保密管理（3分）：建立完整的服务对象专项档案，全程留存服务台账、工作记录；严格落实未成年人隐私和个人信息保密制度，无信息泄露、违规传播情况得3分，档案缺失、管理混乱、出现信息泄露事件的不得分。</w:t>
      </w:r>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6. 配合监督评估工作（2分）：主动配合采购方、第三方机构开展日常监督、中期及末期评估，及时提供台账资料、如实反馈工作情况，积极落实整改要求得2分，拒不配合、拖延整改、资料造假的不得分。</w:t>
      </w:r>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bookmarkStart w:id="17" w:name="heading_9"/>
      <w:r>
        <w:rPr>
          <w:rFonts w:hint="eastAsia" w:ascii="仿宋" w:hAnsi="仿宋" w:eastAsia="仿宋" w:cs="仿宋"/>
          <w:sz w:val="24"/>
          <w:szCs w:val="24"/>
        </w:rPr>
        <w:t>三、服务对象满意度（10分）</w:t>
      </w:r>
      <w:bookmarkEnd w:id="17"/>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通过实地走访、问卷调查、座谈访谈、日常反馈记录等方式开展满意度测评，测评对象为中心受助未成年人、监护对接单位、采购方管理人员，综合评定服务认可度。</w:t>
      </w:r>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1. 满意度调查覆盖率（3分）：评估期内完成全覆盖满意度调研，调研样本真实有效、无敷衍造假，台账完整得3分，调研覆盖率70%-79%扣1分，覆盖率不足70%扣2分，未开展调研不得分。</w:t>
      </w:r>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2. 综合满意度评分（7分）：整体服务满意度≥95%得7分；90%-94%得5分；80%-89%得3分；70%-79%得1分；70%以下不得分。</w:t>
      </w:r>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备注：针对未成年人反馈的合理诉求、意见建议，供应商需建立整改台账、闭环整改，未落实整改的每次扣1分，本项分值扣完为止。</w:t>
      </w:r>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bookmarkStart w:id="18" w:name="heading_10"/>
      <w:r>
        <w:rPr>
          <w:rFonts w:hint="eastAsia" w:ascii="仿宋" w:hAnsi="仿宋" w:eastAsia="仿宋" w:cs="仿宋"/>
          <w:sz w:val="24"/>
          <w:szCs w:val="24"/>
        </w:rPr>
        <w:t>四、资金使用规范性（10分）</w:t>
      </w:r>
      <w:bookmarkEnd w:id="18"/>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考核项目服务资金使用的合规性、合理性、透明性，核查资金拨付、支出、台账管理等情况。</w:t>
      </w:r>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1. 资金管理制度（2分）：建立专项项目资金使用管理制度，明确资金使用范围、审批流程、报销规范，制度健全完善得2分，无专项制度、管理混乱不得分。</w:t>
      </w:r>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2. 资金使用合规性（4分）：项目资金专款专用，全部用于本项目人员薪酬、服务耗材、设备维护等项目相关支出，无挤占、挪用、截留、超范围支出情况得4分，发现违规使用资金问题直接本项不得分，并记入履约不良记录。</w:t>
      </w:r>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3. 财务台账管理（2分）：财务凭证、支出票据、报销资料真实、合法、完整，账目清晰、账实相符，可全程溯源得2分，出现票据缺失、账目混乱、凭证不规范的每次扣0.5分，存在凭证造假的本项不得分，扣完为止。</w:t>
      </w:r>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4. 资金使用报备（2分）：按采购方要求定期报送资金使用情况、财务报表，主动配合资金审计、核查工作得2分，未按时报备、拒不配合核查的每次扣1分。</w:t>
      </w:r>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bookmarkStart w:id="19" w:name="heading_11"/>
      <w:r>
        <w:rPr>
          <w:rFonts w:hint="eastAsia" w:ascii="仿宋" w:hAnsi="仿宋" w:eastAsia="仿宋" w:cs="仿宋"/>
          <w:sz w:val="24"/>
          <w:szCs w:val="24"/>
        </w:rPr>
        <w:t>五、加减分项（不计入总分，作为履约评级依据）</w:t>
      </w:r>
      <w:bookmarkEnd w:id="19"/>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bookmarkStart w:id="20" w:name="heading_12"/>
      <w:r>
        <w:rPr>
          <w:rFonts w:hint="eastAsia" w:ascii="仿宋" w:hAnsi="仿宋" w:eastAsia="仿宋" w:cs="仿宋"/>
          <w:sz w:val="24"/>
          <w:szCs w:val="24"/>
        </w:rPr>
        <w:t>（一）加分项</w:t>
      </w:r>
      <w:bookmarkEnd w:id="20"/>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1. 创新服务模式，打造未成年人关爱、心理疏导、安全教育等特色服务品牌，获得采购方书面认可或上级部门表彰的，每次加2-3分。</w:t>
      </w:r>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2. 全年服务零投诉、零安全隐患、零违规事件，服务成效突出的，加3分。</w:t>
      </w:r>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3. 主动优化人员配置、升级服务标准，超额完成项目服务要求的，每次加1-2分。</w:t>
      </w:r>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bookmarkStart w:id="21" w:name="heading_13"/>
      <w:r>
        <w:rPr>
          <w:rFonts w:hint="eastAsia" w:ascii="仿宋" w:hAnsi="仿宋" w:eastAsia="仿宋" w:cs="仿宋"/>
          <w:sz w:val="24"/>
          <w:szCs w:val="24"/>
        </w:rPr>
        <w:t>（二）扣分项</w:t>
      </w:r>
      <w:bookmarkEnd w:id="21"/>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1. 出现未成年人服务投诉且核实为供应商责任的，每次扣3分。</w:t>
      </w:r>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2. 发生食品安全、消防安全、人身安全等轻微安全事故的，每次扣5分；发生重大安全事故、造成不良社会影响的，直接判定评估不合格。</w:t>
      </w:r>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3. 出现未成年人个人信息泄露、隐私侵权问题的，每次扣5分，情节严重的终止合作。</w:t>
      </w:r>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4. 台账资料造假、隐瞒问题、拒不落实整改要求的，每次扣4分。</w:t>
      </w:r>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bookmarkStart w:id="22" w:name="heading_14"/>
      <w:r>
        <w:rPr>
          <w:rFonts w:hint="eastAsia" w:ascii="仿宋" w:hAnsi="仿宋" w:eastAsia="仿宋" w:cs="仿宋"/>
          <w:sz w:val="24"/>
          <w:szCs w:val="24"/>
        </w:rPr>
        <w:t>六、评估等级与结果运用</w:t>
      </w:r>
      <w:bookmarkEnd w:id="22"/>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bookmarkStart w:id="23" w:name="heading_15"/>
      <w:r>
        <w:rPr>
          <w:rFonts w:hint="eastAsia" w:ascii="仿宋" w:hAnsi="仿宋" w:eastAsia="仿宋" w:cs="仿宋"/>
          <w:sz w:val="24"/>
          <w:szCs w:val="24"/>
        </w:rPr>
        <w:t>（一）评估等级划分</w:t>
      </w:r>
      <w:bookmarkEnd w:id="23"/>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1. 优秀：90分及以上</w:t>
      </w:r>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2. 良好：80-89分</w:t>
      </w:r>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3. 合格：70-79分</w:t>
      </w:r>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4. 不合格：70分以下</w:t>
      </w:r>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bookmarkStart w:id="24" w:name="heading_16"/>
      <w:r>
        <w:rPr>
          <w:rFonts w:hint="eastAsia" w:ascii="仿宋" w:hAnsi="仿宋" w:eastAsia="仿宋" w:cs="仿宋"/>
          <w:sz w:val="24"/>
          <w:szCs w:val="24"/>
        </w:rPr>
        <w:t>（二）结果运用</w:t>
      </w:r>
      <w:bookmarkEnd w:id="24"/>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1. 中期评估优秀、良好的，正常拨付项目经费；中期评估合格的，限期整改后拨付经费；中期评估不合格的，暂缓经费拨付，责令全面整改，整改不到位的终止项目合作。</w:t>
      </w:r>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2. 末期评估优秀的，优先纳入后续项目合作备选单位；评估良好、合格的，正常完成项目履约结算；评估不合格的，不予结算尾款，记入政府采购不良履约记录，限制参与后续同类项目投标。</w:t>
      </w:r>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3. 评估过程中发现的违规违纪、资金挪用、安全事故等严重问题，依法依规追究供应商相关责任。</w:t>
      </w:r>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bookmarkStart w:id="25" w:name="heading_17"/>
      <w:r>
        <w:rPr>
          <w:rFonts w:hint="eastAsia" w:ascii="仿宋" w:hAnsi="仿宋" w:eastAsia="仿宋" w:cs="仿宋"/>
          <w:sz w:val="24"/>
          <w:szCs w:val="24"/>
        </w:rPr>
        <w:t>七、附则</w:t>
      </w:r>
      <w:bookmarkEnd w:id="25"/>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1. 本评估标准适用于本项目中期、末期全部评估工作，由采购方负责解释，未尽事宜结合项目采购文件、合同约定执行。</w:t>
      </w:r>
    </w:p>
    <w:p>
      <w:pPr>
        <w:keepNext w:val="0"/>
        <w:keepLines w:val="0"/>
        <w:pageBreakBefore w:val="0"/>
        <w:widowControl/>
        <w:kinsoku/>
        <w:wordWrap/>
        <w:overflowPunct/>
        <w:topLinePunct w:val="0"/>
        <w:autoSpaceDE/>
        <w:autoSpaceDN/>
        <w:bidi w:val="0"/>
        <w:adjustRightInd w:val="0"/>
        <w:snapToGrid w:val="0"/>
        <w:spacing w:line="440" w:lineRule="exact"/>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2. 所有评估打分、台账核查、满意度测评结果均留存存档，作为项目履约考核、经费拨付、合作延续的正式依据。</w:t>
      </w:r>
    </w:p>
    <w:p>
      <w:pPr>
        <w:rPr>
          <w:rFonts w:hint="eastAsia" w:ascii="仿宋" w:hAnsi="仿宋" w:eastAsia="仿宋" w:cs="仿宋"/>
          <w:sz w:val="24"/>
          <w:szCs w:val="24"/>
        </w:rPr>
      </w:pPr>
    </w:p>
    <w:sectPr>
      <w:footerReference r:id="rId3" w:type="default"/>
      <w:pgSz w:w="11906" w:h="16838"/>
      <w:pgMar w:top="1440" w:right="1486" w:bottom="1440" w:left="16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_GB2312">
    <w:altName w:val="Courier New"/>
    <w:panose1 w:val="00000000000000000000"/>
    <w:charset w:val="00"/>
    <w:family w:val="auto"/>
    <w:pitch w:val="default"/>
    <w:sig w:usb0="00000000" w:usb1="00000000" w:usb2="00000000" w:usb3="00000000" w:csb0="00000001"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Courier New">
    <w:panose1 w:val="02070309020205020404"/>
    <w:charset w:val="00"/>
    <w:family w:val="auto"/>
    <w:pitch w:val="default"/>
    <w:sig w:usb0="E0002AFF" w:usb1="C0007843" w:usb2="00000009" w:usb3="00000000" w:csb0="400001FF" w:csb1="FFFF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4"/>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DOqXm5zwAAAAUB&#10;AAAPAAAAAAAAAAEAIAAAACIAAABkcnMvZG93bnJldi54bWxQSwECFAAUAAAACACHTuJAd85RhbIB&#10;AABZAwAADgAAAAAAAAABACAAAAAeAQAAZHJzL2Uyb0RvYy54bWxQSwUGAAAAAAYABgBZAQAAQgUA&#10;AAAA&#10;">
              <v:fill on="f" focussize="0,0"/>
              <v:stroke on="f"/>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9757C4"/>
    <w:rsid w:val="28E649A7"/>
    <w:rsid w:val="36177576"/>
    <w:rsid w:val="545603DD"/>
    <w:rsid w:val="56975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Body Text"/>
    <w:basedOn w:val="1"/>
    <w:next w:val="1"/>
    <w:qFormat/>
    <w:uiPriority w:val="99"/>
    <w:rPr>
      <w:color w:val="993300"/>
      <w:sz w:val="24"/>
    </w:rPr>
  </w:style>
  <w:style w:type="paragraph" w:styleId="3">
    <w:name w:val="Normal Indent"/>
    <w:basedOn w:val="1"/>
    <w:next w:val="1"/>
    <w:qFormat/>
    <w:uiPriority w:val="0"/>
    <w:pPr>
      <w:autoSpaceDE w:val="0"/>
      <w:autoSpaceDN w:val="0"/>
      <w:adjustRightInd w:val="0"/>
      <w:spacing w:line="640" w:lineRule="exact"/>
      <w:ind w:firstLine="585"/>
    </w:pPr>
    <w:rPr>
      <w:rFonts w:ascii="??_GB2312" w:eastAsia="Times New Roman"/>
      <w:sz w:val="32"/>
      <w:szCs w:val="32"/>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Title"/>
    <w:basedOn w:val="1"/>
    <w:next w:val="1"/>
    <w:qFormat/>
    <w:uiPriority w:val="0"/>
    <w:pPr>
      <w:spacing w:before="240" w:after="60"/>
      <w:jc w:val="center"/>
      <w:outlineLvl w:val="0"/>
    </w:pPr>
    <w:rPr>
      <w:rFonts w:ascii="Cambria" w:hAnsi="Cambria"/>
      <w:b/>
      <w:bCs/>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潮州市潮安区机关及下属单位</Company>
  <Pages>1</Pages>
  <Words>0</Words>
  <Characters>0</Characters>
  <Lines>0</Lines>
  <Paragraphs>0</Paragraphs>
  <TotalTime>0</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2026-07-15T02:58:00Z</dcterms:created>
  <dc:creator>Administrator</dc:creator>
  <cp:lastModifiedBy>Administrator</cp:lastModifiedBy>
  <dcterms:modified xsi:type="dcterms:W3CDTF">2026-07-15T06:40:54Z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