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2CBAF">
      <w:pPr>
        <w:spacing w:line="360" w:lineRule="auto"/>
        <w:jc w:val="center"/>
        <w:rPr>
          <w:rFonts w:hint="eastAsia" w:ascii="宋体"/>
          <w:b/>
          <w:bCs/>
          <w:sz w:val="24"/>
          <w:szCs w:val="28"/>
        </w:rPr>
      </w:pPr>
      <w:r>
        <w:rPr>
          <w:rFonts w:hint="eastAsia" w:ascii="宋体" w:hAnsi="宋体" w:cs="宋体"/>
          <w:b/>
          <w:bCs/>
          <w:sz w:val="32"/>
          <w:szCs w:val="32"/>
        </w:rPr>
        <w:t>节能环保、绿色建材</w:t>
      </w:r>
    </w:p>
    <w:p w14:paraId="45008E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3D68E8"/>
    <w:rsid w:val="57A266F8"/>
    <w:rsid w:val="673D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2026-05-18T05:33:00Z</dcterms:created>
  <dc:creator>唯一</dc:creator>
  <cp:lastModifiedBy>唯一</cp:lastModifiedBy>
  <dcterms:modified xsi:type="dcterms:W3CDTF">2026-05-28T11:24:17Z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3A3BA10523064776AC09D97476D5E63B_11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