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版本号：ZMZB2026XJD-186.1B120260616001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雁塔校区建筑学院教学楼提质改造工程(二次)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ZMZB2026XJD-186.1B1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雁塔校区建筑学院教学楼提质改造工程(二次)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ZMZB2026XJD-186.1B1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雁塔校区建筑学院教学楼提质改造工程(二次)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雁塔校区建筑学院教学楼提质改造工程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采购包1（雁塔校区建筑学院教学楼提质改造工程）：属于专门面向中小企业采购。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7、法定代表人委托授权书：非法定代表人参加磋商的，须提供法定代表人委托授权书及被授权人身份证，法定代表人参加磋商时,只须提供法定代表人身份证</w:t>
      </w:r>
    </w:p>
    <w:p>
      <w:pPr>
        <w:pStyle w:val="null3"/>
      </w:pPr>
      <w:r>
        <w:rPr>
          <w:rFonts w:ascii="仿宋_GB2312" w:hAnsi="仿宋_GB2312" w:cs="仿宋_GB2312" w:eastAsia="仿宋_GB2312"/>
        </w:rPr>
        <w:t>8、相关资质：具备建筑工程施工总承包三级及以上资质或建筑装修装饰工程专业承包二级及以上资质，有效期内的安全生产许可证</w:t>
      </w:r>
    </w:p>
    <w:p>
      <w:pPr>
        <w:pStyle w:val="null3"/>
      </w:pPr>
      <w:r>
        <w:rPr>
          <w:rFonts w:ascii="仿宋_GB2312" w:hAnsi="仿宋_GB2312" w:cs="仿宋_GB2312" w:eastAsia="仿宋_GB2312"/>
        </w:rPr>
        <w:t>9、项目经理：拟投入项目经理须具备建筑工程专业二级以上（含二级）注册建造师执业资格证（在本单位注册）及有效的安全生产考核合格证（建安B证），且未担任其它在建工程的项目经理（提供承诺书）</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采购包1：892,600.00元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监控设备</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踏勘时间：2026-06-25 09:30:00</w:t>
            </w:r>
          </w:p>
          <w:p>
            <w:pPr>
              <w:pStyle w:val="null3"/>
              <w:ind w:firstLine="975"/>
            </w:pPr>
            <w:r>
              <w:rPr>
                <w:rFonts w:ascii="仿宋_GB2312" w:hAnsi="仿宋_GB2312" w:cs="仿宋_GB2312" w:eastAsia="仿宋_GB2312"/>
              </w:rPr>
              <w:t>踏勘地点：西安建筑科技大学雁塔校区东楼门前</w:t>
            </w:r>
          </w:p>
          <w:p>
            <w:pPr>
              <w:pStyle w:val="null3"/>
              <w:ind w:firstLine="975"/>
            </w:pPr>
            <w:r>
              <w:rPr>
                <w:rFonts w:ascii="仿宋_GB2312" w:hAnsi="仿宋_GB2312" w:cs="仿宋_GB2312" w:eastAsia="仿宋_GB2312"/>
              </w:rPr>
              <w:t>联系人：董菊莉 马魏臣</w:t>
            </w:r>
          </w:p>
          <w:p>
            <w:pPr>
              <w:pStyle w:val="null3"/>
              <w:ind w:firstLine="975"/>
            </w:pPr>
            <w:r>
              <w:rPr>
                <w:rFonts w:ascii="仿宋_GB2312" w:hAnsi="仿宋_GB2312" w:cs="仿宋_GB2312" w:eastAsia="仿宋_GB2312"/>
              </w:rPr>
              <w:t>联系电话号码：17778966063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6061</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892,600.00</w:t>
      </w:r>
    </w:p>
    <w:p>
      <w:pPr>
        <w:pStyle w:val="null3"/>
      </w:pPr>
      <w:r>
        <w:rPr>
          <w:rFonts w:ascii="仿宋_GB2312" w:hAnsi="仿宋_GB2312" w:cs="仿宋_GB2312" w:eastAsia="仿宋_GB2312"/>
        </w:rPr>
        <w:t>采购包最高限价（元）: 892,600.00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雁塔校区建筑学院教学楼提质改造工程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892,600.00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标的名称：雁塔校区建筑学院教学楼提质改造工程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1.我校现计划对雁塔校区东楼进行改造，建设学院历史展厅，用于展示学院发展历程、成果等；对三楼原专业教室部分进行改造，建设教育团队及重点科研项目用房，优化东楼空间布局，提升空间利用效率，完善学院教学科研配套功能；对东楼北侧附体建筑整修，外立面空鼓墙砖拆除、墙面挂网抹灰、真石漆喷涂等，彻底消除东楼附体楼外墙安全隐患。整体改造符合建筑安全规范，选用环保、耐用材料，施工过程不影响学院正常教学办公秩序，按时完工，确保改造后空间实用、合规、美观，适配学院长期使用需求。项目预算89.26万元，施工场地满足施工需求。</w:t>
            </w:r>
          </w:p>
          <w:p>
            <w:pPr>
              <w:pStyle w:val="null3"/>
            </w:pPr>
            <w:r>
              <w:rPr>
                <w:rFonts w:ascii="仿宋_GB2312" w:hAnsi="仿宋_GB2312" w:cs="仿宋_GB2312" w:eastAsia="仿宋_GB2312"/>
                <w:sz w:val="21"/>
                <w:color w:val="000000"/>
              </w:rPr>
              <w:t>2.采购（招标）范围：本项目采购清单所包含全部内容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3.投标报价要求</w:t>
            </w:r>
          </w:p>
          <w:p>
            <w:pPr>
              <w:pStyle w:val="null3"/>
            </w:pPr>
            <w:r>
              <w:rPr>
                <w:rFonts w:ascii="仿宋_GB2312" w:hAnsi="仿宋_GB2312" w:cs="仿宋_GB2312" w:eastAsia="仿宋_GB2312"/>
                <w:sz w:val="21"/>
              </w:rPr>
              <w:t>（1）竞争性磋商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投标人根据提供的施工图纸认真核对，并确认无误;投标人中标后，若出现竞争性磋商文件中工程量清单描述与图纸不符等问题时，此部分工程量清单项的综合单价不予调整。</w:t>
            </w:r>
          </w:p>
          <w:p>
            <w:pPr>
              <w:pStyle w:val="null3"/>
            </w:pPr>
            <w:r>
              <w:rPr>
                <w:rFonts w:ascii="仿宋_GB2312" w:hAnsi="仿宋_GB2312" w:cs="仿宋_GB2312" w:eastAsia="仿宋_GB2312"/>
                <w:sz w:val="21"/>
                <w:color w:val="000000"/>
              </w:rPr>
              <w:t>（2）投标人投标前，应仔细勘察现场，应充分了解工程建设现状与本工程发包内容相关的实际情况，应充分考虑实际情况对投标报价的影响，任何因忽视或误解现状情况而导致的索赔、价款调整或工期延长申请将不被批准。投标人应充分考虑工程建设现状与本工程计价有关的任何因素均应考虑在投标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二、技术要求</w:t>
            </w:r>
          </w:p>
          <w:p>
            <w:pPr>
              <w:pStyle w:val="null3"/>
              <w:ind w:firstLine="211"/>
              <w:jc w:val="left"/>
            </w:pPr>
            <w:r>
              <w:rPr>
                <w:rFonts w:ascii="仿宋_GB2312" w:hAnsi="仿宋_GB2312" w:cs="仿宋_GB2312" w:eastAsia="仿宋_GB2312"/>
                <w:sz w:val="21"/>
                <w:color w:val="000000"/>
              </w:rPr>
              <w:t>1.详见《工程量清单》（或《采购清单》）附件</w:t>
            </w:r>
          </w:p>
          <w:p>
            <w:pPr>
              <w:pStyle w:val="null3"/>
              <w:ind w:firstLine="211"/>
              <w:jc w:val="left"/>
            </w:pPr>
            <w:r>
              <w:rPr>
                <w:rFonts w:ascii="仿宋_GB2312" w:hAnsi="仿宋_GB2312" w:cs="仿宋_GB2312" w:eastAsia="仿宋_GB2312"/>
                <w:sz w:val="21"/>
                <w:color w:val="000000"/>
              </w:rPr>
              <w:t>2.主要材料规格型号及技术参数要求：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参数、标准、要求</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装饰装修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乳胶漆挥发性有机化合物含量（60°光泽≤10）≤50g/L</w:t>
                  </w:r>
                </w:p>
                <w:p>
                  <w:pPr>
                    <w:pStyle w:val="null3"/>
                    <w:jc w:val="center"/>
                  </w:pPr>
                  <w:r>
                    <w:rPr>
                      <w:rFonts w:ascii="仿宋_GB2312" w:hAnsi="仿宋_GB2312" w:cs="仿宋_GB2312" w:eastAsia="仿宋_GB2312"/>
                      <w:sz w:val="21"/>
                      <w:color w:val="000000"/>
                    </w:rPr>
                    <w:t>2. 乳胶漆挥发性有机化合物含量（60°光泽＞10）≤80g/L</w:t>
                  </w:r>
                </w:p>
                <w:p>
                  <w:pPr>
                    <w:pStyle w:val="null3"/>
                    <w:jc w:val="center"/>
                  </w:pPr>
                  <w:r>
                    <w:rPr>
                      <w:rFonts w:ascii="仿宋_GB2312" w:hAnsi="仿宋_GB2312" w:cs="仿宋_GB2312" w:eastAsia="仿宋_GB2312"/>
                      <w:sz w:val="21"/>
                      <w:color w:val="000000"/>
                    </w:rPr>
                    <w:t>3. 乳胶漆甲醛含量（乙酰丙酮法）≤30mg/kg</w:t>
                  </w:r>
                </w:p>
                <w:p>
                  <w:pPr>
                    <w:pStyle w:val="null3"/>
                    <w:jc w:val="center"/>
                  </w:pPr>
                  <w:r>
                    <w:rPr>
                      <w:rFonts w:ascii="仿宋_GB2312" w:hAnsi="仿宋_GB2312" w:cs="仿宋_GB2312" w:eastAsia="仿宋_GB2312"/>
                      <w:sz w:val="21"/>
                      <w:color w:val="000000"/>
                    </w:rPr>
                    <w:t>4. 乳胶漆苯、甲苯、乙苯、二甲苯总和≤80mg/kg</w:t>
                  </w:r>
                </w:p>
                <w:p>
                  <w:pPr>
                    <w:pStyle w:val="null3"/>
                    <w:jc w:val="center"/>
                  </w:pPr>
                  <w:r>
                    <w:rPr>
                      <w:rFonts w:ascii="仿宋_GB2312" w:hAnsi="仿宋_GB2312" w:cs="仿宋_GB2312" w:eastAsia="仿宋_GB2312"/>
                      <w:sz w:val="21"/>
                      <w:color w:val="000000"/>
                    </w:rPr>
                    <w:t>5.耐洗刷性：≥6000 次</w:t>
                  </w:r>
                </w:p>
                <w:p>
                  <w:pPr>
                    <w:pStyle w:val="null3"/>
                    <w:jc w:val="center"/>
                  </w:pPr>
                  <w:r>
                    <w:rPr>
                      <w:rFonts w:ascii="仿宋_GB2312" w:hAnsi="仿宋_GB2312" w:cs="仿宋_GB2312" w:eastAsia="仿宋_GB2312"/>
                      <w:sz w:val="21"/>
                      <w:color w:val="000000"/>
                    </w:rPr>
                    <w:t>非工程款竹炭净味漆，甲醛净化效率≥80%，竹炭颗粒细度≤50纳米，VOC≤10g/L，符合GB18582-2020标准，未添加香精、溶剂，游离甲醛≤5mg/kg，通过CNAS认证，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瓷砖、踢脚线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瓷砖通过3C认证证书，执行标准GB/T4100-2015附录G，干压陶瓷E≤0.5%BIa类M，吸水率≤0.5%，摩擦系数≥0.5，符合GB6566-2010建筑材料放射性核素限量中放射性水平A类。产品内照射指数 IRa≤0.9，外照射指数 Ir≤1.2，耐污染性≥3 级，节能环保产品，符合本项目工程量清单、施工图纸相关要求，符合国家相关标准、规范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木地板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15mm厚鱼骨木环保复合木地板，节能环保产品，符合本项目工程量清单、施工图纸相关要求，符合国家相关标准、规范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实木踢脚线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实木踢脚线，节能环保产品，符合本项目工程量清单、施工图纸相关要求，符合国家相关标准、规范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钢材</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Q235B，符合本项目工程量清单、施工图纸相关要求，符合国家相关标准、规范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1.2mm厚不锈钢，符合本项目工程量清单、施工图纸相关要求，符合国家相关标准、规范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木饰面</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15/12/8mm厚，节能环保产品，符合本项目工程量清单、施工图纸相关要求，符合国家相关标准、规范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阻燃木工板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15/12/8mm厚，节能环保产品，符合本项目工程量清单、施工图纸相关要求，符合国家相关标准、规范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石膏板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9/12mm厚节能环保产品，符合本项目工程量清单、施工图纸相关要求，符合国家相关标准、规范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轻钢龙骨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填充物不低于100%，详见施工图纸，节能环保产品，符合本项目工程量清单、施工图纸相关要求，符合国家相关标准、规范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防盗门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乙级保温防盗门，门的传热系数K=2.1W/(m2.K)。门扇厚度不低于70，门扇钢板厚度不低于0.8mm，门框钢板厚度不低于1.5mm，C级锁芯，明装双活不锈钢把手。详见施工图纸，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长虹玻璃/5mm厚钢化白浮法玻璃，符合本项目工程量清单、施工图纸相关要求，符合国家相关标准、规范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84/90系列铝合金厚度1.4mm，国家级绿色工厂产品，节能环保产品，符合国家相关标准、规范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理论涂布率：0.3-0.4平方米/千克</w:t>
                  </w:r>
                </w:p>
                <w:p>
                  <w:pPr>
                    <w:pStyle w:val="null3"/>
                    <w:jc w:val="center"/>
                  </w:pPr>
                  <w:r>
                    <w:rPr>
                      <w:rFonts w:ascii="仿宋_GB2312" w:hAnsi="仿宋_GB2312" w:cs="仿宋_GB2312" w:eastAsia="仿宋_GB2312"/>
                      <w:sz w:val="21"/>
                      <w:color w:val="000000"/>
                    </w:rPr>
                    <w:t>，表干＜2小时，实干＜48小时，不含铅和汞，25摄氏度对湿度75%，符合本项目工程量清单、施工图纸相关要求和国家相关标准、规范。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1.单位产品总挥发性有机物（TVOC）含量≤80g/kg</w:t>
                  </w:r>
                </w:p>
                <w:p>
                  <w:pPr>
                    <w:pStyle w:val="null3"/>
                    <w:jc w:val="center"/>
                  </w:pPr>
                  <w:r>
                    <w:rPr>
                      <w:rFonts w:ascii="仿宋_GB2312" w:hAnsi="仿宋_GB2312" w:cs="仿宋_GB2312" w:eastAsia="仿宋_GB2312"/>
                      <w:sz w:val="21"/>
                      <w:color w:val="000000"/>
                    </w:rPr>
                    <w:t>2.烷烃增塑剂（红外光谱）不得检出</w:t>
                  </w:r>
                </w:p>
                <w:p>
                  <w:pPr>
                    <w:pStyle w:val="null3"/>
                    <w:jc w:val="center"/>
                  </w:pPr>
                  <w:r>
                    <w:rPr>
                      <w:rFonts w:ascii="仿宋_GB2312" w:hAnsi="仿宋_GB2312" w:cs="仿宋_GB2312" w:eastAsia="仿宋_GB2312"/>
                      <w:sz w:val="21"/>
                      <w:color w:val="000000"/>
                    </w:rPr>
                    <w:t>3. 密封胶分级达到 20HM、25HM、20LM</w:t>
                  </w:r>
                </w:p>
                <w:p>
                  <w:pPr>
                    <w:pStyle w:val="null3"/>
                    <w:jc w:val="center"/>
                  </w:pPr>
                  <w:r>
                    <w:rPr>
                      <w:rFonts w:ascii="仿宋_GB2312" w:hAnsi="仿宋_GB2312" w:cs="仿宋_GB2312" w:eastAsia="仿宋_GB2312"/>
                      <w:sz w:val="21"/>
                      <w:color w:val="000000"/>
                    </w:rPr>
                    <w:t>4.符合《胶粘剂中有害物质限量》GB 18583-2008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1.单位产品总挥发性有机物（TVOC）含量≤80g/kg</w:t>
                  </w:r>
                </w:p>
                <w:p>
                  <w:pPr>
                    <w:pStyle w:val="null3"/>
                    <w:jc w:val="center"/>
                  </w:pPr>
                  <w:r>
                    <w:rPr>
                      <w:rFonts w:ascii="仿宋_GB2312" w:hAnsi="仿宋_GB2312" w:cs="仿宋_GB2312" w:eastAsia="仿宋_GB2312"/>
                      <w:sz w:val="21"/>
                      <w:color w:val="000000"/>
                    </w:rPr>
                    <w:t>2.烷烃增塑剂（红外光谱）不得检出</w:t>
                  </w:r>
                </w:p>
                <w:p>
                  <w:pPr>
                    <w:pStyle w:val="null3"/>
                    <w:jc w:val="center"/>
                  </w:pPr>
                  <w:r>
                    <w:rPr>
                      <w:rFonts w:ascii="仿宋_GB2312" w:hAnsi="仿宋_GB2312" w:cs="仿宋_GB2312" w:eastAsia="仿宋_GB2312"/>
                      <w:sz w:val="21"/>
                      <w:color w:val="000000"/>
                    </w:rPr>
                    <w:t>3.23℃拉伸粘结强度标准值≥0.6MPa</w:t>
                  </w:r>
                </w:p>
                <w:p>
                  <w:pPr>
                    <w:pStyle w:val="null3"/>
                    <w:jc w:val="center"/>
                  </w:pPr>
                  <w:r>
                    <w:rPr>
                      <w:rFonts w:ascii="仿宋_GB2312" w:hAnsi="仿宋_GB2312" w:cs="仿宋_GB2312" w:eastAsia="仿宋_GB2312"/>
                      <w:sz w:val="21"/>
                      <w:color w:val="000000"/>
                    </w:rPr>
                    <w:t>4.粘结破坏面积≤5%</w:t>
                  </w:r>
                </w:p>
                <w:p>
                  <w:pPr>
                    <w:pStyle w:val="null3"/>
                    <w:jc w:val="center"/>
                  </w:pPr>
                  <w:r>
                    <w:rPr>
                      <w:rFonts w:ascii="仿宋_GB2312" w:hAnsi="仿宋_GB2312" w:cs="仿宋_GB2312" w:eastAsia="仿宋_GB2312"/>
                      <w:sz w:val="21"/>
                      <w:color w:val="000000"/>
                    </w:rPr>
                    <w:t>4.符合《胶粘剂中有害物质限量》GB 18583-2008</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1.符合本项目工程量清单、施工图纸相关要求和国家相关标准、规范；</w:t>
                  </w:r>
                </w:p>
                <w:p>
                  <w:pPr>
                    <w:pStyle w:val="null3"/>
                    <w:jc w:val="center"/>
                  </w:pPr>
                  <w:r>
                    <w:rPr>
                      <w:rFonts w:ascii="仿宋_GB2312" w:hAnsi="仿宋_GB2312" w:cs="仿宋_GB2312" w:eastAsia="仿宋_GB2312"/>
                      <w:sz w:val="21"/>
                      <w:color w:val="000000"/>
                    </w:rPr>
                    <w:t>2.箱体、元器件安装底板均采用冷轧钢板。配电箱箱体为喷塑，颜色为电脑灰色；安装底板应镀锌；</w:t>
                  </w:r>
                </w:p>
                <w:p>
                  <w:pPr>
                    <w:pStyle w:val="null3"/>
                    <w:jc w:val="center"/>
                  </w:pPr>
                  <w:r>
                    <w:rPr>
                      <w:rFonts w:ascii="仿宋_GB2312" w:hAnsi="仿宋_GB2312" w:cs="仿宋_GB2312" w:eastAsia="仿宋_GB2312"/>
                      <w:sz w:val="21"/>
                      <w:color w:val="000000"/>
                    </w:rPr>
                    <w:t>3.箱内布线要分色；一次线、铜排、辅料均采用合格产品。</w:t>
                  </w:r>
                </w:p>
                <w:p>
                  <w:pPr>
                    <w:pStyle w:val="null3"/>
                    <w:jc w:val="center"/>
                  </w:pPr>
                  <w:r>
                    <w:rPr>
                      <w:rFonts w:ascii="仿宋_GB2312" w:hAnsi="仿宋_GB2312" w:cs="仿宋_GB2312" w:eastAsia="仿宋_GB2312"/>
                      <w:sz w:val="21"/>
                      <w:color w:val="000000"/>
                    </w:rPr>
                    <w:t>4.施工图纸中箱体规格尺寸仅供参考，报价不再因箱体尺寸变化而变化</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采用低烟低毒阻燃型线缆、矿物绝缘类不燃性电缆等，且导体材料采用铜芯，符合本项目工程量清单、施工图纸相关要求，符合国家相关标准、规范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开关/插座面板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220V，64A/32A/16A/10A等，节能环保产品，符合本项目工程量清单、施工图纸相关要求，符合国家相关标准、规范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空气开关</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16/32A等，带漏电保护。节能环保产品，符合本项目工程量清单、施工图纸相关要求，符合国家相关标准、规范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照明灯具</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参数详见设计图纸、工程量清单，符合本项目工程量清单、施工图纸相关要求，符合国家相关标准、规范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双绞线</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UTP6，需现场通过校方百米传输测试，符合本项目工程量清单、施工图纸相关要求，符合国家相关标准、规范</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24路千兆交换机，具备控制管理功能，符合本项目工程量清单、施工图纸相关要求，符合国家相关标准、规范</w:t>
                  </w:r>
                </w:p>
              </w:tc>
            </w:tr>
          </w:tbl>
          <w:p>
            <w:pPr>
              <w:pStyle w:val="null3"/>
              <w:jc w:val="left"/>
            </w:pPr>
            <w:r>
              <w:rPr>
                <w:rFonts w:ascii="仿宋_GB2312" w:hAnsi="仿宋_GB2312" w:cs="仿宋_GB2312" w:eastAsia="仿宋_GB2312"/>
                <w:sz w:val="21"/>
                <w:color w:val="000000"/>
              </w:rPr>
              <w:t>3.本项目图纸（详见附件）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合格，质量标准执行国家、陕西省、西安市现行工程质量验评标准，施工结束后提供具有CMA/CNAS资格的第三方检测机构空气质量检测报告。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1、工期：45天；2、质保期及保修要求：（1）质保期：本项目竣工验收合格通过之日起贰年，其中防水五年 ；（2）保修要求：属于保修范围和内容的项目，承包人应在接到维修通知后，1天内派人维修。发生紧急抢修事故（如上水管跑水、爆裂，供电设施漏、断电等），承包人应在接到事故通知后2小时内到达事故现场并于4小时内完成应急维修。3、付款方式：□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签订合同完毕，供应商无法提供预付款保函，施工满一个月，且经核算完成80%改造工程内容后，支付合同额60%进度款。工程竣工验收合格后经审计部门或其委托有工程造价咨询资质的机构审定结算后，缴纳施工水电费后，支付至审定结算价的100%；但在国家规定的保修期限内，保修责任仍由承包人继续承担。本工程的工程量据实结算，若乙方报送的原始结算价超出甲方审定结算价的3％，则乙方承担全部审计费，在结算付款时一次性扣除。注：商务要求不允许负偏离。 二、纸质文件递交：中标（成交）结果发布后，中标供应商在2个工作日内向采购代理机构提供一正一副（和上传文件保持一致的）纸质投标（响应）文件用于备案及档案保存。 三、投标保证金以电子保函形式递交需在开标前给shanxizhuoming_zb@163.com邮箱发一份扫描件。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具备建筑工程施工总承包三级及以上资质或建筑装修装饰工程专业承包二级及以上资质，有效期内的安全生产许可证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拟投入项目经理须具备建筑工程专业二级以上（含二级）注册建造师执业资格证（在本单位注册）及有效的安全生产考核合格证（建安B证），且未担任其它在建工程的项目经理（提供承诺书）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已标价工程量清单 中小企业声明函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响应文件无响应有效期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拟派项目经理及项目组成员在项目结束前不可更换的承诺函</w:t>
            </w:r>
          </w:p>
        </w:tc>
        <w:tc>
          <w:tcPr>
            <w:tcW w:type="dxa" w:w="3322"/>
          </w:tcPr>
          <w:p>
            <w:pPr>
              <w:pStyle w:val="null3"/>
            </w:pPr>
            <w:r>
              <w:rPr>
                <w:rFonts w:ascii="仿宋_GB2312" w:hAnsi="仿宋_GB2312" w:cs="仿宋_GB2312" w:eastAsia="仿宋_GB2312"/>
              </w:rPr>
              <w:t>提供了合格的拟派项目经理及项目组成员在项目结束前不可更换的承诺函（合格）未提供或提供的拟派项目经理及项目组成员在项目结束前不可更换的承诺函不合格（不合格）</w:t>
            </w:r>
          </w:p>
        </w:tc>
        <w:tc>
          <w:tcPr>
            <w:tcW w:type="dxa" w:w="1661"/>
          </w:tcPr>
          <w:p>
            <w:pPr>
              <w:pStyle w:val="null3"/>
            </w:pPr>
            <w:r>
              <w:rPr>
                <w:rFonts w:ascii="仿宋_GB2312" w:hAnsi="仿宋_GB2312" w:cs="仿宋_GB2312" w:eastAsia="仿宋_GB2312"/>
              </w:rPr>
              <w:t>拟派项目经理及项目组成员在项目结束前不可更换的承诺函.docx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强制、优先采购产品承诺函.docx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1、对项目实施的现场情况、难易程度、历史资料匹配、成品保护等重点、难点进行分析；根据对项目整体理解内容进行评审： 内容完备、科学、合理、针对性强得1.5分； 内容较为完备，针对性较强的得1分； 内容较为简略、基本可行得0.5分； 内容缺失严重、不合理和未提供的均不计分。 2、根据供应商针对本项目易发生质量通病、易出现安全问题、施工难度大、技术含量高的分项工程等进行说明并给出施工保障措施和专项技术方案（含主要施工工法、组织措施、检验手段等）进行评审：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内容较为完备，针对性较强的得1.5分； 内容较为简略、基本可行得1分； 内容缺失严重、不合理和未提供的均不计分。 3、根据供应商针对本项目影响本项目的外在因素和可能出现的问题进行分析，并制定相关应急预案或保证措施进行评审：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根据供应商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根据供应商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内容较为完备，针对性较强的得1.5分； 内容较为简略、基本可行得1分； 内容缺失严重、不合理和未提供的均不计分。 2、根据供应商针对本项目提供分部分项工程质量保证措施；成品保护和工程保修管理措施进行评审：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1、根据供应商针对本项目结合工程环境、特点分析安全隐患，给出有针对性的安全生产、文明施工、环保施工、防尘降噪等保证措施进行评审：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2、根据供应商针对本项目安全文明、环保施工保证体系和控制点设置合理，给出的满足国家、省市相关法规规定及采购文件要求的保护措施进行评审：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根据供应商针对本项目提供的项目人员组成，项目经理、技术负责人（职称、学历、工作年限、社保），其他项目人员构成情况（岗位设置、专业种类及能力、有技术职称的人员比例）等进行评审： 内容完备、科学、合理、针对性强得3分； 内容较为完备，针对性较强的得2分； 内容较为简略、基本可行1分；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1、主要材料品牌、价格表填写完整，无缺漏项计4分；未提供或提供不全或拟投主要材料品牌不明确的本项不得分。 2、根据供应商针对本项目拟投入主要材料品牌、价格表的产品选型情况、品质进行评审：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主要材料品牌、报价表.docx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 内容完备、科学、合理、针对性强得3分； 内容较为完备，针对性较强的得2分； 内容较为简略、基本可行1分；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详见附件：拟派项目经理及项目组成员在项目结束前不可更换的承诺函.docx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详见附件：主要材料品牌、报价表.docx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详见附件：强制、优先采购产品承诺函.docx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