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版本号：HXGJXM2026-ZC-GK1020.1B120260626001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新型电力系统实时调度与控制半实物仿真平台(二次)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HXGJXM2026-ZC-GK1020.1B1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新型电力系统实时调度与控制半实物仿真平台(二次)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HXGJXM2026-ZC-GK1020.1B1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新型电力系统实时调度与控制半实物仿真平台(二次)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随着可再生能源的大量接入和特高压直流输电工程的建设推进，电网更加趋于电力电子化，对电网动态行为的准确模拟变得越来越重要。新型电网的科研需要具备大规模电磁暂态仿真计算能力及数模实时仿真能力，满足电网运行与仿真的要求。电力电子控制设备的响应速度为1微秒级，西安理工大学实验室有必要建设新型电力系统实时调度与半实控制物仿真平台，以适应新型电力系统的发展需要。具体详见招标文件第三章相关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采购包1（新型电力系统实时调度与控制半实物仿真平台）：属于专门面向中小企业采购。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投标截止日前一年内在本单位已缴存的至少一个月的社会保险参保缴费证明)；法定代表人直接参加投标，须提供法定代表人身份证明。</w:t>
      </w:r>
    </w:p>
    <w:p>
      <w:pPr>
        <w:pStyle w:val="null3"/>
      </w:pPr>
      <w:r>
        <w:rPr>
          <w:rFonts w:ascii="仿宋_GB2312" w:hAnsi="仿宋_GB2312" w:cs="仿宋_GB2312" w:eastAsia="仿宋_GB2312"/>
        </w:rPr>
        <w:t>2、信用记录：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4、非联合体：本项目不允许联合体投标。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王攀宏、康敏茹、张宝育、张艳萍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开户名称：华夏国际项目管理（西安）有限公司（如为转账，备注项目名称+项目编号）</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银行账号：3700024819200130193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代理服务费收费标准：采购预算在80万元（含）以上400万元（不含）以下，参照《招标代理服务收费暂行办法》（计价格[2002]1980号）文件规定收费标准下浮20%向中标人收取； 代理服务费账号： 开户名称：华夏国际项目管理（西安）有限公司第一分公司 开户银行：中国光大银行股份有限公司西安科技六路支行 银行账号：78620188000199459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 供应商所提供的所有系统设备和软件应按合同要求运抵采购人安装现场，安装调试并与现有系统联调成功后开始现场验收。 供应商需承诺项目验收按照招标人的相关办法和标准执行。招标人对项目阶段工作成果不认可的，应按照招标人提出的意见和要求，及时修订、补充工作成果，修改完成后应再次提交招标人重新认可，直到符合要求为止。 （2）验收成果要求 ①提供实时仿真设备及相关配件，并完成安装调试。 ②★提供模型要求中的所有模型构建及其相关技术资料。 ③提供设备到货清单、货物交接单等，并提供出厂试验报告、用户使用说明等。 （3）验收流程 ①到货初检（采购人、中标人共同参与）： 检查外包装完整性、防伪标识、运输损伤情况； 核对货物型号、数量、规格是否与合同一致； 检查随机文件（合格证、说明书、保修卡等）。 ②安装调试验收 ③性能测试验收（关键指标实测） 连续运行3小时无故障； 关键参数与投标文件承诺值对比无偏差。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联系人：王攀宏、康敏茹、张宝育、张艳萍</w:t>
      </w:r>
    </w:p>
    <w:p>
      <w:pPr>
        <w:pStyle w:val="null3"/>
      </w:pPr>
      <w:r>
        <w:rPr>
          <w:rFonts w:ascii="仿宋_GB2312" w:hAnsi="仿宋_GB2312" w:cs="仿宋_GB2312" w:eastAsia="仿宋_GB2312"/>
        </w:rPr>
        <w:t>联系电话：029-88899970-802</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随着可再生能源的大量接入和特高压直流输电工程的建设推进，电网更加趋于电力电子化，对电网动态行为的准确模拟变得越来越重要。新型电网的科研需要具备大规模电磁暂态仿真计算能力及数模实时仿真能力，满足电网运行与仿真的要求。电力电子控制设备的响应速度为</w:t>
      </w:r>
      <w:r>
        <w:rPr>
          <w:rFonts w:ascii="仿宋_GB2312" w:hAnsi="仿宋_GB2312" w:cs="仿宋_GB2312" w:eastAsia="仿宋_GB2312"/>
          <w:sz w:val="21"/>
        </w:rPr>
        <w:t>1</w:t>
      </w:r>
      <w:r>
        <w:rPr>
          <w:rFonts w:ascii="仿宋_GB2312" w:hAnsi="仿宋_GB2312" w:cs="仿宋_GB2312" w:eastAsia="仿宋_GB2312"/>
          <w:sz w:val="21"/>
        </w:rPr>
        <w:t>微秒级，西安理工大学实验室有必要建设新型电力系统实时调度与半实控制物仿真平台，以适应新型电力系统的发展需要。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1,980,000.00</w:t>
      </w:r>
    </w:p>
    <w:p>
      <w:pPr>
        <w:pStyle w:val="null3"/>
      </w:pPr>
      <w:r>
        <w:rPr>
          <w:rFonts w:ascii="仿宋_GB2312" w:hAnsi="仿宋_GB2312" w:cs="仿宋_GB2312" w:eastAsia="仿宋_GB2312"/>
        </w:rPr>
        <w:t>采购包最高限价（元）: 1,980,000.00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新型电力系统实时调度与控制半实物仿真平台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标的名称：新型电力系统实时调度与控制半实物仿真平台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配置清单：</w:t>
            </w:r>
          </w:p>
          <w:p>
            <w:pPr>
              <w:pStyle w:val="null3"/>
            </w:pPr>
            <w:r>
              <w:rPr>
                <w:rFonts w:ascii="仿宋_GB2312" w:hAnsi="仿宋_GB2312" w:cs="仿宋_GB2312" w:eastAsia="仿宋_GB2312"/>
                <w:sz w:val="21"/>
                <w:color w:val="000000"/>
              </w:rPr>
              <w:t>1、实时仿真器（核心产品）    1套</w:t>
            </w:r>
          </w:p>
          <w:p>
            <w:pPr>
              <w:pStyle w:val="null3"/>
            </w:pPr>
            <w:r>
              <w:rPr>
                <w:rFonts w:ascii="仿宋_GB2312" w:hAnsi="仿宋_GB2312" w:cs="仿宋_GB2312" w:eastAsia="仿宋_GB2312"/>
                <w:sz w:val="21"/>
                <w:color w:val="000000"/>
              </w:rPr>
              <w:t>2、接口装置             1套</w:t>
            </w:r>
          </w:p>
          <w:p>
            <w:pPr>
              <w:pStyle w:val="null3"/>
            </w:pPr>
            <w:r>
              <w:rPr>
                <w:rFonts w:ascii="仿宋_GB2312" w:hAnsi="仿宋_GB2312" w:cs="仿宋_GB2312" w:eastAsia="仿宋_GB2312"/>
                <w:sz w:val="21"/>
                <w:color w:val="000000"/>
              </w:rPr>
              <w:t>3、光纤通信接口模块        1套</w:t>
            </w:r>
          </w:p>
          <w:p>
            <w:pPr>
              <w:pStyle w:val="null3"/>
            </w:pPr>
            <w:r>
              <w:rPr>
                <w:rFonts w:ascii="仿宋_GB2312" w:hAnsi="仿宋_GB2312" w:cs="仿宋_GB2312" w:eastAsia="仿宋_GB2312"/>
                <w:sz w:val="21"/>
              </w:rPr>
              <w:t>4、功率放大器            1套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实时仿真器：</w:t>
            </w:r>
          </w:p>
          <w:p>
            <w:pPr>
              <w:pStyle w:val="null3"/>
            </w:pPr>
            <w:r>
              <w:rPr>
                <w:rFonts w:ascii="仿宋_GB2312" w:hAnsi="仿宋_GB2312" w:cs="仿宋_GB2312" w:eastAsia="仿宋_GB2312"/>
                <w:sz w:val="21"/>
                <w:color w:val="000000"/>
              </w:rPr>
              <w:t>★1、处理器核数≥64核，主频≥2.1Ghz，实时仿真器≥40核实时授权，实时仿真规模≥1500母线，或接入≥18台风机。光纤设备接口≥4路，支持连接数模接口与服务器连接及通讯。</w:t>
            </w:r>
          </w:p>
          <w:p>
            <w:pPr>
              <w:pStyle w:val="null3"/>
            </w:pPr>
            <w:r>
              <w:rPr>
                <w:rFonts w:ascii="仿宋_GB2312" w:hAnsi="仿宋_GB2312" w:cs="仿宋_GB2312" w:eastAsia="仿宋_GB2312"/>
                <w:sz w:val="21"/>
                <w:color w:val="000000"/>
              </w:rPr>
              <w:t>★2、含实时操作系统、网络交换机、KVM设备、机柜及供电系统各一套。支持64位实时Linux操作系统WindRiver7.0版本，具备Linuxmon作业管理系统程序，支持ssh、FTP端口远程访问调用程序。支持HBA卡驱动；支持PCI-E扩展为2.5Gb光纤通讯卡。网络交换机具备24个10/100/1000Base-T以太网端口，4个复用的 SFP 千兆端口，整机交换容量≥500Gbps。KVM切换系统≥8节点。19U标准机柜：含供电和散热系统</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、接收并执行</w:t>
            </w:r>
            <w:r>
              <w:rPr>
                <w:rFonts w:ascii="仿宋_GB2312" w:hAnsi="仿宋_GB2312" w:cs="仿宋_GB2312" w:eastAsia="仿宋_GB2312"/>
                <w:sz w:val="21"/>
                <w:color w:val="000000"/>
              </w:rPr>
              <w:t>PC</w:t>
            </w:r>
            <w:r>
              <w:rPr>
                <w:rFonts w:ascii="仿宋_GB2312" w:hAnsi="仿宋_GB2312" w:cs="仿宋_GB2312" w:eastAsia="仿宋_GB2312"/>
                <w:sz w:val="21"/>
                <w:color w:val="000000"/>
              </w:rPr>
              <w:t xml:space="preserve">端下发的电磁暂态仿真计算任务，提供大规模并行算力支撑，完成计算后将完整结果反馈至 </w:t>
            </w:r>
            <w:r>
              <w:rPr>
                <w:rFonts w:ascii="仿宋_GB2312" w:hAnsi="仿宋_GB2312" w:cs="仿宋_GB2312" w:eastAsia="仿宋_GB2312"/>
                <w:sz w:val="21"/>
                <w:color w:val="000000"/>
              </w:rPr>
              <w:t xml:space="preserve">PC </w:t>
            </w:r>
            <w:r>
              <w:rPr>
                <w:rFonts w:ascii="仿宋_GB2312" w:hAnsi="仿宋_GB2312" w:cs="仿宋_GB2312" w:eastAsia="仿宋_GB2312"/>
                <w:sz w:val="21"/>
                <w:color w:val="000000"/>
              </w:rPr>
              <w:t>端，为仿真结果查看与分析提供数据基础。</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、支持将各类电力系统元件模型</w:t>
            </w:r>
            <w:r>
              <w:rPr>
                <w:rFonts w:ascii="仿宋_GB2312" w:hAnsi="仿宋_GB2312" w:cs="仿宋_GB2312" w:eastAsia="仿宋_GB2312"/>
                <w:sz w:val="21"/>
                <w:color w:val="000000"/>
              </w:rPr>
              <w:t>、直流输电系统模型及自定义元器件模型</w:t>
            </w:r>
            <w:r>
              <w:rPr>
                <w:rFonts w:ascii="仿宋_GB2312" w:hAnsi="仿宋_GB2312" w:cs="仿宋_GB2312" w:eastAsia="仿宋_GB2312"/>
                <w:sz w:val="21"/>
                <w:color w:val="000000"/>
              </w:rPr>
              <w:t>通过静态库编译为</w:t>
            </w:r>
            <w:r>
              <w:rPr>
                <w:rFonts w:ascii="仿宋_GB2312" w:hAnsi="仿宋_GB2312" w:cs="仿宋_GB2312" w:eastAsia="仿宋_GB2312"/>
                <w:sz w:val="21"/>
                <w:color w:val="000000"/>
              </w:rPr>
              <w:t>.so</w:t>
            </w:r>
            <w:r>
              <w:rPr>
                <w:rFonts w:ascii="仿宋_GB2312" w:hAnsi="仿宋_GB2312" w:cs="仿宋_GB2312" w:eastAsia="仿宋_GB2312"/>
                <w:sz w:val="21"/>
                <w:color w:val="000000"/>
              </w:rPr>
              <w:t>格式动态库，编译后的动态库可被实时仿真器接收的计算任务自动加载调用，保障仿真计算稳定运行。</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5、支持</w:t>
            </w:r>
            <w:r>
              <w:rPr>
                <w:rFonts w:ascii="仿宋_GB2312" w:hAnsi="仿宋_GB2312" w:cs="仿宋_GB2312" w:eastAsia="仿宋_GB2312"/>
                <w:sz w:val="21"/>
                <w:color w:val="000000"/>
              </w:rPr>
              <w:t>*.ets</w:t>
            </w:r>
            <w:r>
              <w:rPr>
                <w:rFonts w:ascii="仿宋_GB2312" w:hAnsi="仿宋_GB2312" w:cs="仿宋_GB2312" w:eastAsia="仿宋_GB2312"/>
                <w:sz w:val="21"/>
                <w:color w:val="000000"/>
              </w:rPr>
              <w:t>工程下发的计算任务，并依据配置的处理器核数自动执行并行计算。</w:t>
            </w:r>
          </w:p>
          <w:p>
            <w:pPr>
              <w:pStyle w:val="null3"/>
            </w:pPr>
            <w:r>
              <w:rPr>
                <w:rFonts w:ascii="仿宋_GB2312" w:hAnsi="仿宋_GB2312" w:cs="仿宋_GB2312" w:eastAsia="仿宋_GB2312"/>
                <w:sz w:val="21"/>
              </w:rPr>
              <w:t>6、仿真系统内部构建专用局域网，实现实时仿真器与 PC 端、数模接口及系统各组件间的信息传输与共享。</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000000"/>
              </w:rPr>
              <w:t>接口装置：</w:t>
            </w:r>
          </w:p>
          <w:p>
            <w:pPr>
              <w:pStyle w:val="null3"/>
            </w:pPr>
            <w:r>
              <w:rPr>
                <w:rFonts w:ascii="仿宋_GB2312" w:hAnsi="仿宋_GB2312" w:cs="仿宋_GB2312" w:eastAsia="仿宋_GB2312"/>
                <w:sz w:val="21"/>
                <w:color w:val="000000"/>
              </w:rPr>
              <w:t>▲1、AO接口≥32路通道，共地输出，电平范围：-10V~+10V，分辨率≥16bit，绝对精度＜2mV。</w:t>
            </w:r>
          </w:p>
          <w:p>
            <w:pPr>
              <w:pStyle w:val="null3"/>
            </w:pPr>
            <w:r>
              <w:rPr>
                <w:rFonts w:ascii="仿宋_GB2312" w:hAnsi="仿宋_GB2312" w:cs="仿宋_GB2312" w:eastAsia="仿宋_GB2312"/>
                <w:sz w:val="21"/>
                <w:color w:val="000000"/>
              </w:rPr>
              <w:t>▲2、AI接口≥32路通道，差分输入，电平范围：-10V~+10V，分辨率≥16bit，绝对精度＜2mV。</w:t>
            </w:r>
          </w:p>
          <w:p>
            <w:pPr>
              <w:pStyle w:val="null3"/>
            </w:pPr>
            <w:r>
              <w:rPr>
                <w:rFonts w:ascii="仿宋_GB2312" w:hAnsi="仿宋_GB2312" w:cs="仿宋_GB2312" w:eastAsia="仿宋_GB2312"/>
                <w:sz w:val="21"/>
                <w:color w:val="000000"/>
              </w:rPr>
              <w:t>▲3、DO接口≥32路通道，电平输出，电平范围：0V/24V。</w:t>
            </w:r>
          </w:p>
          <w:p>
            <w:pPr>
              <w:pStyle w:val="null3"/>
            </w:pPr>
            <w:r>
              <w:rPr>
                <w:rFonts w:ascii="仿宋_GB2312" w:hAnsi="仿宋_GB2312" w:cs="仿宋_GB2312" w:eastAsia="仿宋_GB2312"/>
                <w:sz w:val="21"/>
              </w:rPr>
              <w:t>▲4、DI接口≥32路通道，电平输入/空节点输入，电平输入：0V/24V。</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color w:val="000000"/>
              </w:rPr>
              <w:t>光纤通信接口模块：</w:t>
            </w:r>
          </w:p>
          <w:p>
            <w:pPr>
              <w:pStyle w:val="null3"/>
            </w:pPr>
            <w:r>
              <w:rPr>
                <w:rFonts w:ascii="仿宋_GB2312" w:hAnsi="仿宋_GB2312" w:cs="仿宋_GB2312" w:eastAsia="仿宋_GB2312"/>
                <w:sz w:val="21"/>
              </w:rPr>
              <w:t>★1、SFP接口≥4路，支持连接直流控保/SVG等基于Aurora协议通讯的控制器，含接口程序。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color w:val="000000"/>
              </w:rPr>
              <w:t>功率放大器：</w:t>
            </w:r>
          </w:p>
          <w:p>
            <w:pPr>
              <w:pStyle w:val="null3"/>
            </w:pPr>
            <w:r>
              <w:rPr>
                <w:rFonts w:ascii="仿宋_GB2312" w:hAnsi="仿宋_GB2312" w:cs="仿宋_GB2312" w:eastAsia="仿宋_GB2312"/>
                <w:sz w:val="21"/>
                <w:color w:val="000000"/>
              </w:rPr>
              <w:t>▲1、线性电压功率放大器输出≥四路，线性电流功率放大器输出≥三路。</w:t>
            </w:r>
          </w:p>
          <w:p>
            <w:pPr>
              <w:pStyle w:val="null3"/>
            </w:pPr>
            <w:r>
              <w:rPr>
                <w:rFonts w:ascii="仿宋_GB2312" w:hAnsi="仿宋_GB2312" w:cs="仿宋_GB2312" w:eastAsia="仿宋_GB2312"/>
                <w:sz w:val="21"/>
                <w:color w:val="000000"/>
              </w:rPr>
              <w:t>2、电压输出范围0～120V，最大输出功率＞60VA；输入信号0V～7V RMS，电压增益20V/V，配置四路电压输出通道。</w:t>
            </w:r>
          </w:p>
          <w:p>
            <w:pPr>
              <w:pStyle w:val="null3"/>
            </w:pPr>
            <w:r>
              <w:rPr>
                <w:rFonts w:ascii="仿宋_GB2312" w:hAnsi="仿宋_GB2312" w:cs="仿宋_GB2312" w:eastAsia="仿宋_GB2312"/>
                <w:sz w:val="21"/>
                <w:color w:val="000000"/>
              </w:rPr>
              <w:t>▲3、输出电流范围0～30A，最大输出功率＞400VA；输入信号0V～7V RMS，电流增益4A/V，配置三路电流输出通道，全通道具备长时间电流输出稳定性；25℃环境条件下，1∽10A电流可连续工作＞8h，10∽20A电流可连续工作＞20min，20∽30A电流可连续工作＞3min，30A电流可连续工作≥2min。</w:t>
            </w:r>
          </w:p>
          <w:p>
            <w:pPr>
              <w:pStyle w:val="null3"/>
            </w:pPr>
            <w:r>
              <w:rPr>
                <w:rFonts w:ascii="仿宋_GB2312" w:hAnsi="仿宋_GB2312" w:cs="仿宋_GB2312" w:eastAsia="仿宋_GB2312"/>
                <w:sz w:val="21"/>
                <w:color w:val="000000"/>
              </w:rPr>
              <w:t>▲4、电流通道间相位误差≤0.2°。</w:t>
            </w:r>
          </w:p>
          <w:p>
            <w:pPr>
              <w:pStyle w:val="null3"/>
            </w:pPr>
            <w:r>
              <w:rPr>
                <w:rFonts w:ascii="仿宋_GB2312" w:hAnsi="仿宋_GB2312" w:cs="仿宋_GB2312" w:eastAsia="仿宋_GB2312"/>
                <w:sz w:val="21"/>
                <w:color w:val="000000"/>
              </w:rPr>
              <w:t>5、具备电流开路、过载声光告警及限流保护功能；具备电压短路、过载声光告警功能；支持远程控制功放输出，具备电流、电压实时显示功能。</w:t>
            </w:r>
          </w:p>
          <w:p>
            <w:pPr>
              <w:pStyle w:val="null3"/>
            </w:pPr>
            <w:r>
              <w:rPr>
                <w:rFonts w:ascii="仿宋_GB2312" w:hAnsi="仿宋_GB2312" w:cs="仿宋_GB2312" w:eastAsia="仿宋_GB2312"/>
                <w:sz w:val="21"/>
                <w:color w:val="000000"/>
              </w:rPr>
              <w:t>▲6、供电输入电源AC380V±10%/50Hz，额定电源容量1500VA。</w:t>
            </w:r>
          </w:p>
          <w:p>
            <w:pPr>
              <w:pStyle w:val="null3"/>
            </w:pPr>
            <w:r>
              <w:rPr>
                <w:rFonts w:ascii="仿宋_GB2312" w:hAnsi="仿宋_GB2312" w:cs="仿宋_GB2312" w:eastAsia="仿宋_GB2312"/>
                <w:sz w:val="21"/>
              </w:rPr>
              <w:t>7、支持构建功率放大器与数字仿真系统闭环测试环境。</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签订供货合同，接采购人书面通知后，30个日历日内完成供货、安装、调试并交付使用。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西安理工大学曲江校区。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按照合同规定期限内供货、调试完成，经甲方最终验收合格并签署《验收合格报告》后7个工作日内，向乙方支付全部合同款项。乙方应在甲方付款前，向甲方开具全额合法有效的增值税专用发票，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 供应商所提供的所有系统设备和软件应按合同要求运抵采购人安装现场，安装调试并与现有系统联调成功后开始现场验收。 供应商需承诺项目验收按照招标人的相关办法和标准执行。招标人对项目阶段工作成果不认可的，应按照招标人提出的意见和要求，及时修订、补充工作成果，修改完成后应再次提交招标人重新认可，直到符合要求为止。 （2）验收成果要求 ①提供实时仿真设备及相关配件，并完成安装调试。 ②★提供模型要求中的所有模型构建及其相关技术资料。 ③提供设备到货清单、货物交接单等，并提供出厂试验报告、用户使用说明等。 （3）验收流程 ①到货初检（采购人、中标人共同参与）： 检查外包装完整性、防伪标识、运输损伤情况； 核对货物型号、数量、规格是否与合同一致； 检查随机文件（合格证、说明书、保修卡等）。 ②安装调试验收 ③性能测试验收（关键指标实测） 连续运行3小时无故障； 关键参数与投标文件承诺值对比无偏差。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未按合同要求提供设备或提供的设备质量或规格不能满足技术要求，或所交付货物及伴随的服务不符合其投标承诺，存在偷工减料、以次充好情形的，采购人要求更换一次后仍不符合约定的，采购人有权解除政府采购合同，没收履约保证金，并将有关情况上报政府采购监管部门处理。 2.中标供应商应对其工作人员人身安全负责，如因中标供应商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中标供应商对此均应承担全部的赔偿责任。 3.若中标供应商发生延迟交货，每延迟1日，应向采购人支付合同总金额1‰的违约金；延迟超过15日的，采购人有权单方解除合同，并要求中标供应商支付合同总金额20%的违约金，如该违约金不足以弥补甲方损失的，中标供应商还应予以赔偿。</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1.采购标的的安装调试要求、质量保证、售后服务等要求。 1.1投标人责任： (1)按照合同要求按时提供相关设备及配件等，并负责安装调试工作。 (2)按照合同要求提供增值税发票。 (3)免费配送本次采购设备到招标人指定地址。 (4)提供最终成果并通过招标人验收。 1.2项目成果要求： (1)提供实时仿真设备及相关配件，并完成安装调试。 (2)提供模型要求中的所有模型构建及其相关技术资料。 (3)提供设备到货清单、货物交接单等，并提供出厂试验报告、用户使用说明等。 1.3项目服务及人员要求： (1)对供应商提供的服务的要求 应根据最终用户的实际情况，协调培训事宜。培训可分为初级培训和高级培训。初级培训主要侧重于仿真器基本的理论和使用操作的培训。高级培训主要针对用户在日常的实验和研究工作中出现的问题，以及新的应用领域等方面的培训。培训需由原厂工程师授课，培训时间为期5个工作日，培训人数不限，培训方式为理论结合实际，培训费用全免。 (2)对供应商的人员配备要求 应成立相应的项目组，并指定一名专职的项目经理，主要负责协调和调度工作。项目组需包含不少于2人的技术支持小组，负责所提供软、硬件设备的现场安装、调试和开通，并保证整个系统的正确运行，保证不同时期提供的同类设备（软件、硬件）兼容。 1.4质保期： 自全部设备完成安装调试起1年。 1.5售后服务： (1)对售后服务的需求必须在24小时内做出响应，在48小时内提供技术服务。 (2)按甲方要求开展产品软硬件操作培训。 1.6其他说明： 运输供应、安装调试、检测验收等服务及所需耗材全部包含在总价中。 2.中标单位应提供纸质投标文件叁份（正本壹份、副本贰份），投标文件需包含目录、无少页、缺页、连续页码（或单独使用打码器打码），书脊处应打印项目名称，建议投标文件双面打印、胶装。递交地址:西安市莲湖区二环南路西段202号九座花园16楼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财务状况证明：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 3.提供具有履行合同所必需的设备和专业技术能力的承诺。 4.税收缴纳证明：提供递交响应文件截止之日前一年内任意一个月的依法缴纳税收的完税证明，完税证明应有税务机关或代收机关的公章或业务专用章。依法免税或无须缴纳税收的供应商，应提供相应证明文件。 5.社会保障资金缴纳证明：提供投标截止日前一年内已缴存的至少一个月的社会保障资金缴存单据或社保机构开具的社会保险参保缴费情况证明，依法不需要缴纳社会保障资金的单位应提供相关证明材料。 6.投标人应出具参加政府采购活动前3年内在经营活动中没有重大违法记录的书面声明。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法定代表人授权书（附法定代表人、被授权人身份证复印件及被授权人投标截止日前一年内在本单位已缴存的至少一个月的社会保险参保缴费证明)；法定代表人直接参加投标，须提供法定代表人身份证明。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开标一览表.docx 开标一览表 业绩一览表.docx 本国产品说明 中小企业声明函 中国境内生产的组件成本核算基本规则 供应商承诺书.docx 资格证明文件.docx 投标方案说明书.docx 分项报价表.docx 投标函 残疾人福利性单位声明函 标的清单 关于符合本国产品标准的声明函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开标一览表.docx 开标一览表 业绩一览表.docx 本国产品说明 中小企业声明函 中国境内生产的组件成本核算基本规则 供应商承诺书.docx 资格证明文件.docx 投标方案说明书.docx 分项报价表.docx 投标函 残疾人福利性单位声明函 标的清单 关于符合本国产品标准的声明函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开标一览表.docx 开标一览表 业绩一览表.docx 本国产品说明 中小企业声明函 中国境内生产的组件成本核算基本规则 供应商承诺书.docx 资格证明文件.docx 投标方案说明书.docx 分项报价表.docx 投标函 残疾人福利性单位声明函 标的清单 关于符合本国产品标准的声明函 其他资料.docx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参数要求，得36分。带“★”的参数需求为实质性要求，供应商必须响应并满足并提供证明资料（包括产品说明书或技术说明书或技术白皮书或产品检测报告或产品彩页或官网截图或测试结果等任意一种），否则按无效投标处理。 （1）标▲项（8项）：完全满足招标文件要求计24分，每负偏离1项扣3分； （2）除标★和▲项外的5项：完全满足招标文件要求计12分；每负偏离1项扣2.4分。 （备注：（1）标▲项：须提供参数佐证材料，包括产品说明书或技术说明书或技术白皮书或产品检测报告或产品彩页或官网截图或测试结果等任意一种，予以证明其技术参数的响应性；（2）非标▲项：以“技术规格响应表”中的响应内容为准认定其响应性。投标人对响应内容真实性负责，如有虚假响应，将依法承担相应责任。）</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根据投标人针对本项目提供的①供货方案②安装调试③人员配备④培训方案等方面制订具体的实施方案进行评审。 2.评审标准： ①完整性：方案必须全面，对评审内容中的各项要求有详细描述； ②可实施性：切合本项目实际情况，提出步骤清晰、合理的方案； ③针对性：方案能够紧扣项目实际情况，内容科学合理。 3.赋分标准： ①供货方案：每完全满足一项评审标准得0.5分，满分1.5分； ②安装调试：每完全满足一项评审标准得0.5分，满分1.5分； ③人员配备：每完全满足一项评审标准得0.5分，满分1.5分； ④培训方案：每完全满足一项评审标准得0.5分，满分1.5分； 以上内容缺项或未提供得0分。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1.完整性：方案必须全面，对评审内容中的各项要求有详细描述； 2.可实施性及针对性：方案能够紧扣项目实际情况，提出步骤清晰、合理的方案，内容科学合理。 三、赋分依据（满分3分） ①产品性能：每完全满足一个评审标准得0.5分，满分1分； ②使用寿命及效果:每完全满足一个评审标准得0.5分，满分1分； ③交货及安装时间:每完全满足一个评审标准得0.5分，满分1分。 以上内容缺项或未提供得0分。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产品来源证明</w:t>
            </w:r>
          </w:p>
        </w:tc>
        <w:tc>
          <w:tcPr>
            <w:tcW w:type="dxa" w:w="2492"/>
          </w:tcPr>
          <w:p>
            <w:pPr>
              <w:pStyle w:val="null3"/>
            </w:pPr>
            <w:r>
              <w:rPr>
                <w:rFonts w:ascii="仿宋_GB2312" w:hAnsi="仿宋_GB2312" w:cs="仿宋_GB2312" w:eastAsia="仿宋_GB2312"/>
              </w:rPr>
              <w:t>所投产品进货渠道正规，有对本项目完整合法有效的供货协议，确保供应的产品无假货、无产权纠纷。投标人为制造厂家的提供所投产品生产承诺书或相关证明材料，投标人为经销商的提供所投产品合法来源渠道证明文件（包括但不限于：产品制造商授权或销售协议或代理协议等）。提供完整的证明文件得3分，未提供得0分。注：本次采购设备属于定制产品，制造商指设备的集成商或各部件制造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2.针对性及可实施性：方案能够紧扣项目实际情况，提出步骤清晰、合理的方案，内容科学合理。 三、赋分依据（满分4分） ①售后服务范围：每完全满足一个评审标准得0.5分，满分1分； ②响应时间及方式:每完全满足一个评审标准得0.5分，满分1分； ③故障处理及补救措施:每完全满足一个评审标准得0.5分，满分1分； ④定期回访及维护:每完全满足一个评审标准得0.5分，满分1分。 以上内容缺项或未提供得0分。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提供2023年1月1日至投标文件递交截止时间止承担过类似产品的销售业绩或生产厂家销售业绩（以合同签订日期为准），每份业绩合同计2分，满分6分。 备注：需提供业绩完整合同及对应货款发票复印件或合同的财务转账记录（任意一种），并加盖投标人公章，以上两种证明材料同时提供方可得分，否则不得分。未提供或不清晰导致无法识别的不得分。若招标人对供应商提供的合同存疑，招标人有权要求供应商提供合同的财务转账记录、发票等证明材料，如供应商存在业绩造假，招标人有权取消供应商的投标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整机质保期承诺：高于招标文件要求（1年）的，每增加1年得1分（产品验收合格后开始计算），最高加2分，无承诺不得分。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2.满足招标文件实质性要求且最终报价最低的供应商的价格为投标基准价，其价格分为满分40分。 3.投标报价得分=（投标基准价/最终投标报价）×40。 4.投标报价不完整的，不进入投标基准价的计算，本项得0分。 5.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