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CE1D8D">
      <w:pPr>
        <w:pStyle w:val="6"/>
        <w:jc w:val="center"/>
        <w:outlineLvl w:val="1"/>
      </w:pPr>
      <w:r>
        <w:rPr>
          <w:rFonts w:ascii="仿宋_GB2312" w:hAnsi="仿宋_GB2312" w:eastAsia="仿宋_GB2312" w:cs="仿宋_GB2312"/>
          <w:b/>
          <w:sz w:val="36"/>
        </w:rPr>
        <w:t>拟签订采购合同文本</w:t>
      </w:r>
    </w:p>
    <w:p w14:paraId="0D09EF97">
      <w:pPr>
        <w:tabs>
          <w:tab w:val="left" w:pos="735"/>
        </w:tabs>
        <w:autoSpaceDE w:val="0"/>
        <w:autoSpaceDN w:val="0"/>
        <w:adjustRightInd w:val="0"/>
        <w:snapToGrid w:val="0"/>
        <w:spacing w:before="240" w:beforeLines="100" w:line="360" w:lineRule="auto"/>
        <w:ind w:firstLine="482" w:firstLineChars="200"/>
        <w:rPr>
          <w:rFonts w:eastAsia="仿宋_GB2312"/>
          <w:b/>
          <w:bCs/>
          <w:sz w:val="24"/>
          <w:lang w:val="zh-CN"/>
        </w:rPr>
      </w:pPr>
      <w:r>
        <w:rPr>
          <w:rFonts w:eastAsia="仿宋_GB2312"/>
          <w:b/>
          <w:bCs/>
          <w:sz w:val="24"/>
          <w:lang w:val="zh-CN"/>
        </w:rPr>
        <w:t>甲方：</w:t>
      </w:r>
      <w:r>
        <w:rPr>
          <w:rFonts w:eastAsia="仿宋_GB2312"/>
          <w:bCs/>
          <w:sz w:val="24"/>
          <w:lang w:val="zh-CN"/>
        </w:rPr>
        <w:t xml:space="preserve">（前款所称采购人）     </w:t>
      </w:r>
      <w:r>
        <w:rPr>
          <w:rFonts w:hint="eastAsia" w:eastAsia="仿宋_GB2312"/>
          <w:bCs/>
          <w:sz w:val="24"/>
        </w:rPr>
        <w:t xml:space="preserve">    </w:t>
      </w:r>
      <w:r>
        <w:rPr>
          <w:rFonts w:eastAsia="仿宋_GB2312"/>
          <w:bCs/>
          <w:sz w:val="24"/>
          <w:lang w:val="zh-CN"/>
        </w:rPr>
        <w:t>住所：</w:t>
      </w:r>
    </w:p>
    <w:p w14:paraId="30DE9E0A">
      <w:pPr>
        <w:tabs>
          <w:tab w:val="left" w:pos="735"/>
        </w:tabs>
        <w:autoSpaceDE w:val="0"/>
        <w:autoSpaceDN w:val="0"/>
        <w:adjustRightInd w:val="0"/>
        <w:snapToGrid w:val="0"/>
        <w:spacing w:line="360" w:lineRule="auto"/>
        <w:ind w:firstLine="482" w:firstLineChars="200"/>
        <w:rPr>
          <w:rFonts w:eastAsia="仿宋_GB2312"/>
          <w:b/>
          <w:bCs/>
          <w:sz w:val="24"/>
          <w:lang w:val="zh-CN"/>
        </w:rPr>
      </w:pPr>
    </w:p>
    <w:p w14:paraId="75F57996">
      <w:pPr>
        <w:tabs>
          <w:tab w:val="left" w:pos="735"/>
        </w:tabs>
        <w:autoSpaceDE w:val="0"/>
        <w:autoSpaceDN w:val="0"/>
        <w:adjustRightInd w:val="0"/>
        <w:snapToGrid w:val="0"/>
        <w:spacing w:line="360" w:lineRule="auto"/>
        <w:ind w:firstLine="482" w:firstLineChars="200"/>
        <w:rPr>
          <w:rFonts w:eastAsia="仿宋_GB2312"/>
          <w:bCs/>
          <w:sz w:val="24"/>
          <w:lang w:val="zh-CN"/>
        </w:rPr>
      </w:pPr>
      <w:r>
        <w:rPr>
          <w:rFonts w:eastAsia="仿宋_GB2312"/>
          <w:b/>
          <w:bCs/>
          <w:sz w:val="24"/>
          <w:lang w:val="zh-CN"/>
        </w:rPr>
        <w:t>乙方：</w:t>
      </w:r>
      <w:r>
        <w:rPr>
          <w:rFonts w:eastAsia="仿宋_GB2312"/>
          <w:bCs/>
          <w:sz w:val="24"/>
          <w:lang w:val="zh-CN"/>
        </w:rPr>
        <w:t>（前款所称</w:t>
      </w:r>
      <w:r>
        <w:rPr>
          <w:rFonts w:hint="eastAsia" w:eastAsia="仿宋_GB2312"/>
          <w:bCs/>
          <w:sz w:val="24"/>
        </w:rPr>
        <w:t>成交供应商</w:t>
      </w:r>
      <w:r>
        <w:rPr>
          <w:rFonts w:eastAsia="仿宋_GB2312"/>
          <w:bCs/>
          <w:sz w:val="24"/>
          <w:lang w:val="zh-CN"/>
        </w:rPr>
        <w:t>）     住所：</w:t>
      </w:r>
    </w:p>
    <w:p w14:paraId="49E2ED55">
      <w:pPr>
        <w:adjustRightInd w:val="0"/>
        <w:snapToGrid w:val="0"/>
        <w:spacing w:line="360" w:lineRule="auto"/>
        <w:ind w:firstLine="482" w:firstLineChars="200"/>
        <w:rPr>
          <w:rFonts w:eastAsia="仿宋_GB2312"/>
          <w:b/>
          <w:bCs/>
          <w:sz w:val="24"/>
        </w:rPr>
      </w:pPr>
      <w:bookmarkStart w:id="0" w:name="_Toc19515384"/>
    </w:p>
    <w:bookmarkEnd w:id="0"/>
    <w:p w14:paraId="63A994F4">
      <w:pPr>
        <w:spacing w:before="156" w:beforeLines="50" w:after="156" w:afterLines="50" w:line="360" w:lineRule="auto"/>
        <w:rPr>
          <w:rFonts w:hint="eastAsia" w:ascii="仿宋_GB2312" w:eastAsia="仿宋_GB2312"/>
          <w:b/>
          <w:sz w:val="24"/>
          <w:szCs w:val="24"/>
          <w:highlight w:val="none"/>
        </w:rPr>
      </w:pPr>
      <w:r>
        <w:rPr>
          <w:rFonts w:hint="eastAsia" w:ascii="仿宋_GB2312" w:eastAsia="仿宋_GB2312"/>
          <w:b/>
          <w:sz w:val="24"/>
          <w:szCs w:val="24"/>
          <w:highlight w:val="none"/>
        </w:rPr>
        <w:t>一、服务内容：</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3"/>
        <w:gridCol w:w="1380"/>
        <w:gridCol w:w="1275"/>
        <w:gridCol w:w="1575"/>
        <w:gridCol w:w="1235"/>
      </w:tblGrid>
      <w:tr w14:paraId="6E826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jc w:val="center"/>
        </w:trPr>
        <w:tc>
          <w:tcPr>
            <w:tcW w:w="3683" w:type="dxa"/>
            <w:tcBorders>
              <w:top w:val="single" w:color="auto" w:sz="4" w:space="0"/>
              <w:left w:val="single" w:color="auto" w:sz="4" w:space="0"/>
              <w:bottom w:val="single" w:color="auto" w:sz="4" w:space="0"/>
              <w:right w:val="single" w:color="auto" w:sz="4" w:space="0"/>
            </w:tcBorders>
            <w:noWrap w:val="0"/>
            <w:vAlign w:val="center"/>
          </w:tcPr>
          <w:p w14:paraId="144DE23D">
            <w:pPr>
              <w:spacing w:line="360" w:lineRule="auto"/>
              <w:jc w:val="center"/>
              <w:rPr>
                <w:rFonts w:hint="eastAsia" w:ascii="仿宋_GB2312" w:eastAsia="仿宋_GB2312"/>
                <w:bCs/>
                <w:spacing w:val="-4"/>
                <w:sz w:val="24"/>
                <w:szCs w:val="24"/>
                <w:highlight w:val="none"/>
              </w:rPr>
            </w:pPr>
            <w:r>
              <w:rPr>
                <w:rFonts w:hint="eastAsia" w:ascii="仿宋_GB2312" w:eastAsia="仿宋_GB2312"/>
                <w:bCs/>
                <w:spacing w:val="-4"/>
                <w:sz w:val="24"/>
                <w:szCs w:val="24"/>
                <w:highlight w:val="none"/>
              </w:rPr>
              <w:t>服务名称</w:t>
            </w:r>
          </w:p>
        </w:tc>
        <w:tc>
          <w:tcPr>
            <w:tcW w:w="1380" w:type="dxa"/>
            <w:tcBorders>
              <w:top w:val="single" w:color="auto" w:sz="4" w:space="0"/>
              <w:left w:val="single" w:color="auto" w:sz="4" w:space="0"/>
              <w:bottom w:val="single" w:color="auto" w:sz="4" w:space="0"/>
              <w:right w:val="single" w:color="auto" w:sz="4" w:space="0"/>
            </w:tcBorders>
            <w:noWrap w:val="0"/>
            <w:vAlign w:val="center"/>
          </w:tcPr>
          <w:p w14:paraId="525742AD">
            <w:pPr>
              <w:spacing w:line="360" w:lineRule="auto"/>
              <w:jc w:val="center"/>
              <w:rPr>
                <w:rFonts w:hint="eastAsia" w:ascii="仿宋_GB2312" w:eastAsia="仿宋_GB2312"/>
                <w:bCs/>
                <w:spacing w:val="-4"/>
                <w:sz w:val="24"/>
                <w:szCs w:val="24"/>
                <w:highlight w:val="none"/>
              </w:rPr>
            </w:pPr>
            <w:r>
              <w:rPr>
                <w:rFonts w:hint="eastAsia" w:ascii="仿宋_GB2312" w:eastAsia="仿宋_GB2312"/>
                <w:bCs/>
                <w:spacing w:val="-4"/>
                <w:sz w:val="24"/>
                <w:szCs w:val="24"/>
                <w:highlight w:val="none"/>
              </w:rPr>
              <w:t>服务期</w:t>
            </w:r>
          </w:p>
        </w:tc>
        <w:tc>
          <w:tcPr>
            <w:tcW w:w="1275" w:type="dxa"/>
            <w:tcBorders>
              <w:top w:val="single" w:color="auto" w:sz="4" w:space="0"/>
              <w:left w:val="single" w:color="auto" w:sz="4" w:space="0"/>
              <w:bottom w:val="single" w:color="auto" w:sz="4" w:space="0"/>
              <w:right w:val="single" w:color="auto" w:sz="4" w:space="0"/>
            </w:tcBorders>
            <w:noWrap w:val="0"/>
            <w:vAlign w:val="center"/>
          </w:tcPr>
          <w:p w14:paraId="1CA1BCD2">
            <w:pPr>
              <w:spacing w:line="360" w:lineRule="auto"/>
              <w:jc w:val="center"/>
              <w:rPr>
                <w:rFonts w:hint="eastAsia" w:ascii="仿宋_GB2312" w:eastAsia="仿宋_GB2312"/>
                <w:bCs/>
                <w:spacing w:val="-4"/>
                <w:sz w:val="24"/>
                <w:szCs w:val="24"/>
                <w:highlight w:val="none"/>
              </w:rPr>
            </w:pPr>
            <w:r>
              <w:rPr>
                <w:rFonts w:hint="eastAsia" w:ascii="仿宋_GB2312" w:eastAsia="仿宋_GB2312"/>
                <w:bCs/>
                <w:spacing w:val="-4"/>
                <w:sz w:val="24"/>
                <w:szCs w:val="24"/>
                <w:highlight w:val="none"/>
              </w:rPr>
              <w:t>服务地点</w:t>
            </w:r>
          </w:p>
        </w:tc>
        <w:tc>
          <w:tcPr>
            <w:tcW w:w="1575" w:type="dxa"/>
            <w:tcBorders>
              <w:top w:val="single" w:color="auto" w:sz="4" w:space="0"/>
              <w:left w:val="single" w:color="auto" w:sz="4" w:space="0"/>
              <w:bottom w:val="single" w:color="auto" w:sz="4" w:space="0"/>
              <w:right w:val="single" w:color="auto" w:sz="4" w:space="0"/>
            </w:tcBorders>
            <w:noWrap w:val="0"/>
            <w:vAlign w:val="center"/>
          </w:tcPr>
          <w:p w14:paraId="3364E0B3">
            <w:pPr>
              <w:spacing w:line="360" w:lineRule="auto"/>
              <w:jc w:val="center"/>
              <w:rPr>
                <w:rFonts w:hint="eastAsia" w:ascii="仿宋_GB2312" w:eastAsia="仿宋_GB2312"/>
                <w:bCs/>
                <w:spacing w:val="-4"/>
                <w:sz w:val="24"/>
                <w:szCs w:val="24"/>
                <w:highlight w:val="none"/>
              </w:rPr>
            </w:pPr>
            <w:r>
              <w:rPr>
                <w:rFonts w:hint="eastAsia" w:ascii="仿宋_GB2312" w:eastAsia="仿宋_GB2312"/>
                <w:bCs/>
                <w:spacing w:val="-4"/>
                <w:sz w:val="24"/>
                <w:szCs w:val="24"/>
                <w:highlight w:val="none"/>
              </w:rPr>
              <w:t>磋商报价</w:t>
            </w:r>
          </w:p>
          <w:p w14:paraId="03B17A72">
            <w:pPr>
              <w:spacing w:line="360" w:lineRule="auto"/>
              <w:jc w:val="center"/>
              <w:rPr>
                <w:rFonts w:hint="eastAsia" w:ascii="仿宋_GB2312" w:eastAsia="仿宋_GB2312"/>
                <w:bCs/>
                <w:spacing w:val="-4"/>
                <w:sz w:val="24"/>
                <w:szCs w:val="24"/>
                <w:highlight w:val="none"/>
              </w:rPr>
            </w:pPr>
            <w:r>
              <w:rPr>
                <w:rFonts w:hint="eastAsia" w:ascii="仿宋_GB2312" w:eastAsia="仿宋_GB2312"/>
                <w:bCs/>
                <w:spacing w:val="-4"/>
                <w:sz w:val="24"/>
                <w:szCs w:val="24"/>
                <w:highlight w:val="none"/>
              </w:rPr>
              <w:t>（元）</w:t>
            </w:r>
          </w:p>
        </w:tc>
        <w:tc>
          <w:tcPr>
            <w:tcW w:w="1235" w:type="dxa"/>
            <w:tcBorders>
              <w:top w:val="single" w:color="auto" w:sz="4" w:space="0"/>
              <w:left w:val="single" w:color="auto" w:sz="4" w:space="0"/>
              <w:bottom w:val="single" w:color="auto" w:sz="4" w:space="0"/>
              <w:right w:val="single" w:color="auto" w:sz="4" w:space="0"/>
            </w:tcBorders>
            <w:noWrap w:val="0"/>
            <w:vAlign w:val="center"/>
          </w:tcPr>
          <w:p w14:paraId="7E59EABD">
            <w:pPr>
              <w:spacing w:line="360" w:lineRule="auto"/>
              <w:jc w:val="center"/>
              <w:rPr>
                <w:rFonts w:hint="eastAsia" w:ascii="仿宋_GB2312" w:eastAsia="仿宋_GB2312"/>
                <w:bCs/>
                <w:spacing w:val="-4"/>
                <w:sz w:val="24"/>
                <w:szCs w:val="24"/>
                <w:highlight w:val="none"/>
              </w:rPr>
            </w:pPr>
            <w:r>
              <w:rPr>
                <w:rFonts w:hint="eastAsia" w:ascii="仿宋_GB2312" w:eastAsia="仿宋_GB2312"/>
                <w:bCs/>
                <w:spacing w:val="-4"/>
                <w:sz w:val="24"/>
                <w:szCs w:val="24"/>
                <w:highlight w:val="none"/>
              </w:rPr>
              <w:t>备注</w:t>
            </w:r>
          </w:p>
        </w:tc>
      </w:tr>
      <w:tr w14:paraId="6E6A4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exact"/>
          <w:jc w:val="center"/>
        </w:trPr>
        <w:tc>
          <w:tcPr>
            <w:tcW w:w="3683" w:type="dxa"/>
            <w:tcBorders>
              <w:top w:val="single" w:color="auto" w:sz="4" w:space="0"/>
              <w:left w:val="single" w:color="auto" w:sz="4" w:space="0"/>
              <w:bottom w:val="single" w:color="auto" w:sz="4" w:space="0"/>
              <w:right w:val="single" w:color="auto" w:sz="4" w:space="0"/>
            </w:tcBorders>
            <w:noWrap w:val="0"/>
            <w:vAlign w:val="center"/>
          </w:tcPr>
          <w:p w14:paraId="3222A558">
            <w:pPr>
              <w:spacing w:line="360" w:lineRule="auto"/>
              <w:jc w:val="center"/>
              <w:rPr>
                <w:rFonts w:hint="eastAsia" w:ascii="仿宋_GB2312" w:eastAsia="仿宋_GB2312"/>
                <w:bCs/>
                <w:spacing w:val="-4"/>
                <w:sz w:val="24"/>
                <w:szCs w:val="24"/>
                <w:highlight w:val="none"/>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14:paraId="327A00C3">
            <w:pPr>
              <w:spacing w:line="360" w:lineRule="auto"/>
              <w:jc w:val="center"/>
              <w:rPr>
                <w:rFonts w:hint="eastAsia" w:ascii="仿宋_GB2312" w:eastAsia="仿宋_GB2312"/>
                <w:bCs/>
                <w:spacing w:val="-4"/>
                <w:sz w:val="24"/>
                <w:szCs w:val="24"/>
                <w:highlight w:val="none"/>
              </w:rPr>
            </w:pPr>
          </w:p>
        </w:tc>
        <w:tc>
          <w:tcPr>
            <w:tcW w:w="1275" w:type="dxa"/>
            <w:tcBorders>
              <w:top w:val="single" w:color="auto" w:sz="4" w:space="0"/>
              <w:left w:val="single" w:color="auto" w:sz="4" w:space="0"/>
              <w:bottom w:val="single" w:color="auto" w:sz="4" w:space="0"/>
              <w:right w:val="single" w:color="auto" w:sz="4" w:space="0"/>
            </w:tcBorders>
            <w:noWrap w:val="0"/>
            <w:vAlign w:val="center"/>
          </w:tcPr>
          <w:p w14:paraId="10AFA9FC">
            <w:pPr>
              <w:spacing w:line="360" w:lineRule="auto"/>
              <w:jc w:val="center"/>
              <w:rPr>
                <w:rFonts w:hint="eastAsia" w:ascii="仿宋_GB2312" w:eastAsia="仿宋_GB2312"/>
                <w:sz w:val="24"/>
                <w:szCs w:val="24"/>
                <w:highlight w:val="none"/>
              </w:rPr>
            </w:pPr>
          </w:p>
        </w:tc>
        <w:tc>
          <w:tcPr>
            <w:tcW w:w="1575" w:type="dxa"/>
            <w:tcBorders>
              <w:top w:val="single" w:color="auto" w:sz="4" w:space="0"/>
              <w:left w:val="single" w:color="auto" w:sz="4" w:space="0"/>
              <w:bottom w:val="single" w:color="auto" w:sz="4" w:space="0"/>
              <w:right w:val="single" w:color="auto" w:sz="4" w:space="0"/>
            </w:tcBorders>
            <w:noWrap w:val="0"/>
            <w:vAlign w:val="center"/>
          </w:tcPr>
          <w:p w14:paraId="0E5C90BC">
            <w:pPr>
              <w:spacing w:line="360" w:lineRule="auto"/>
              <w:jc w:val="center"/>
              <w:rPr>
                <w:rFonts w:hint="eastAsia" w:ascii="仿宋_GB2312" w:eastAsia="仿宋_GB2312"/>
                <w:sz w:val="24"/>
                <w:szCs w:val="24"/>
                <w:highlight w:val="none"/>
              </w:rPr>
            </w:pPr>
          </w:p>
        </w:tc>
        <w:tc>
          <w:tcPr>
            <w:tcW w:w="1235" w:type="dxa"/>
            <w:tcBorders>
              <w:top w:val="single" w:color="auto" w:sz="4" w:space="0"/>
              <w:left w:val="single" w:color="auto" w:sz="4" w:space="0"/>
              <w:bottom w:val="single" w:color="auto" w:sz="4" w:space="0"/>
              <w:right w:val="single" w:color="auto" w:sz="4" w:space="0"/>
            </w:tcBorders>
            <w:noWrap w:val="0"/>
            <w:vAlign w:val="center"/>
          </w:tcPr>
          <w:p w14:paraId="121B37BC">
            <w:pPr>
              <w:spacing w:line="360" w:lineRule="auto"/>
              <w:rPr>
                <w:rFonts w:hint="eastAsia" w:ascii="仿宋_GB2312" w:eastAsia="仿宋_GB2312"/>
                <w:sz w:val="24"/>
                <w:szCs w:val="24"/>
                <w:highlight w:val="none"/>
              </w:rPr>
            </w:pPr>
          </w:p>
        </w:tc>
      </w:tr>
    </w:tbl>
    <w:p w14:paraId="0C8D0AD5">
      <w:pPr>
        <w:spacing w:before="156" w:beforeLines="50" w:after="156" w:afterLines="50" w:line="360" w:lineRule="auto"/>
        <w:rPr>
          <w:rFonts w:hint="eastAsia" w:ascii="仿宋_GB2312" w:eastAsia="仿宋_GB2312"/>
          <w:b/>
          <w:sz w:val="24"/>
          <w:szCs w:val="24"/>
          <w:highlight w:val="none"/>
        </w:rPr>
      </w:pPr>
      <w:r>
        <w:rPr>
          <w:rFonts w:hint="eastAsia" w:ascii="仿宋_GB2312" w:eastAsia="仿宋_GB2312"/>
          <w:b/>
          <w:sz w:val="24"/>
          <w:szCs w:val="24"/>
          <w:highlight w:val="none"/>
        </w:rPr>
        <w:t>二、合同价款：</w:t>
      </w:r>
    </w:p>
    <w:p w14:paraId="47E78B54">
      <w:pPr>
        <w:spacing w:line="360" w:lineRule="auto"/>
        <w:ind w:firstLine="480" w:firstLineChars="200"/>
        <w:rPr>
          <w:rFonts w:hint="eastAsia" w:ascii="仿宋_GB2312" w:eastAsia="仿宋_GB2312"/>
          <w:sz w:val="24"/>
          <w:szCs w:val="24"/>
          <w:highlight w:val="none"/>
        </w:rPr>
      </w:pPr>
      <w:r>
        <w:rPr>
          <w:rFonts w:hint="eastAsia" w:ascii="仿宋_GB2312" w:eastAsia="仿宋_GB2312"/>
          <w:sz w:val="24"/>
          <w:szCs w:val="24"/>
          <w:highlight w:val="none"/>
        </w:rPr>
        <w:t>1.合同总金额：</w:t>
      </w:r>
      <w:r>
        <w:rPr>
          <w:rFonts w:hint="eastAsia" w:ascii="仿宋_GB2312" w:eastAsia="仿宋_GB2312"/>
          <w:b/>
          <w:sz w:val="24"/>
          <w:szCs w:val="24"/>
          <w:highlight w:val="none"/>
          <w:u w:val="single"/>
        </w:rPr>
        <w:t>人民币          元整。</w:t>
      </w:r>
    </w:p>
    <w:p w14:paraId="3465A314">
      <w:pPr>
        <w:spacing w:line="360" w:lineRule="auto"/>
        <w:ind w:firstLine="480" w:firstLineChars="200"/>
        <w:rPr>
          <w:rFonts w:hint="eastAsia" w:ascii="仿宋_GB2312" w:hAnsi="宋体" w:eastAsia="仿宋_GB2312"/>
          <w:sz w:val="24"/>
          <w:szCs w:val="24"/>
          <w:highlight w:val="none"/>
        </w:rPr>
      </w:pPr>
      <w:r>
        <w:rPr>
          <w:rFonts w:hint="eastAsia" w:ascii="仿宋_GB2312" w:eastAsia="仿宋_GB2312"/>
          <w:sz w:val="24"/>
          <w:szCs w:val="24"/>
          <w:highlight w:val="none"/>
        </w:rPr>
        <w:t>2.</w:t>
      </w:r>
      <w:r>
        <w:rPr>
          <w:rFonts w:hint="eastAsia" w:ascii="仿宋_GB2312" w:hAnsi="宋体" w:eastAsia="仿宋_GB2312" w:cs="宋体"/>
          <w:sz w:val="24"/>
          <w:szCs w:val="24"/>
          <w:highlight w:val="none"/>
        </w:rPr>
        <w:t>本合同总金额已包括工作人员劳务支出、社会保险、劳保福利、人身意外保险费、食宿费以及设备、工具损耗费、耗材物资费、管理费用、税金及可能发生的一切相关费用等。服务期内合同总价不受市场价格变化因素的影响，其他标准不变</w:t>
      </w:r>
      <w:r>
        <w:rPr>
          <w:rFonts w:hint="eastAsia" w:ascii="仿宋_GB2312" w:eastAsia="仿宋_GB2312"/>
          <w:sz w:val="24"/>
          <w:szCs w:val="24"/>
          <w:highlight w:val="none"/>
        </w:rPr>
        <w:t>。</w:t>
      </w:r>
    </w:p>
    <w:p w14:paraId="7C652BE2">
      <w:pPr>
        <w:spacing w:before="156" w:beforeLines="50" w:after="156" w:afterLines="50" w:line="360" w:lineRule="auto"/>
        <w:rPr>
          <w:rFonts w:hint="eastAsia" w:ascii="仿宋_GB2312" w:eastAsia="仿宋_GB2312"/>
          <w:sz w:val="24"/>
          <w:szCs w:val="24"/>
          <w:highlight w:val="none"/>
        </w:rPr>
      </w:pPr>
      <w:r>
        <w:rPr>
          <w:rFonts w:hint="eastAsia" w:ascii="仿宋_GB2312" w:eastAsia="仿宋_GB2312"/>
          <w:b/>
          <w:sz w:val="24"/>
          <w:szCs w:val="24"/>
          <w:highlight w:val="none"/>
        </w:rPr>
        <w:t>三、交货地点：</w:t>
      </w:r>
      <w:r>
        <w:rPr>
          <w:rFonts w:hint="eastAsia" w:ascii="仿宋_GB2312" w:eastAsia="仿宋_GB2312"/>
          <w:sz w:val="24"/>
          <w:szCs w:val="24"/>
          <w:highlight w:val="none"/>
        </w:rPr>
        <w:t>甲方指定地点。</w:t>
      </w:r>
    </w:p>
    <w:p w14:paraId="659C7D56">
      <w:pPr>
        <w:spacing w:before="156" w:beforeLines="50" w:after="156" w:afterLines="50" w:line="360" w:lineRule="auto"/>
        <w:rPr>
          <w:rFonts w:hint="eastAsia" w:ascii="仿宋_GB2312" w:eastAsia="仿宋_GB2312"/>
          <w:b w:val="0"/>
          <w:bCs/>
          <w:sz w:val="24"/>
          <w:szCs w:val="24"/>
          <w:highlight w:val="none"/>
        </w:rPr>
      </w:pPr>
      <w:r>
        <w:rPr>
          <w:rFonts w:hint="eastAsia" w:ascii="仿宋_GB2312" w:eastAsia="仿宋_GB2312"/>
          <w:b/>
          <w:sz w:val="24"/>
          <w:szCs w:val="24"/>
          <w:highlight w:val="none"/>
        </w:rPr>
        <w:t>四、服务期：</w:t>
      </w:r>
      <w:r>
        <w:rPr>
          <w:rFonts w:hint="eastAsia" w:ascii="仿宋_GB2312" w:eastAsia="仿宋_GB2312"/>
          <w:b w:val="0"/>
          <w:bCs/>
          <w:sz w:val="24"/>
          <w:szCs w:val="24"/>
          <w:highlight w:val="none"/>
        </w:rPr>
        <w:t>合同有效期三年，考核合格后逐年续签。</w:t>
      </w:r>
    </w:p>
    <w:p w14:paraId="68C5460D">
      <w:pPr>
        <w:spacing w:before="156" w:beforeLines="50" w:after="156" w:afterLines="50" w:line="360" w:lineRule="auto"/>
        <w:rPr>
          <w:rFonts w:hint="eastAsia" w:ascii="仿宋_GB2312" w:eastAsia="仿宋_GB2312"/>
          <w:sz w:val="24"/>
          <w:szCs w:val="24"/>
          <w:highlight w:val="none"/>
        </w:rPr>
      </w:pPr>
      <w:r>
        <w:rPr>
          <w:rFonts w:hint="eastAsia" w:ascii="仿宋_GB2312" w:eastAsia="仿宋_GB2312"/>
          <w:b/>
          <w:sz w:val="24"/>
          <w:szCs w:val="24"/>
          <w:highlight w:val="none"/>
        </w:rPr>
        <w:t>五、甲方指定经办人为：</w:t>
      </w:r>
      <w:r>
        <w:rPr>
          <w:rFonts w:hint="eastAsia" w:ascii="仿宋_GB2312" w:eastAsia="仿宋_GB2312"/>
          <w:b/>
          <w:sz w:val="24"/>
          <w:szCs w:val="24"/>
          <w:highlight w:val="none"/>
          <w:u w:val="single"/>
        </w:rPr>
        <w:t xml:space="preserve">      </w:t>
      </w:r>
      <w:r>
        <w:rPr>
          <w:rFonts w:hint="eastAsia" w:ascii="仿宋_GB2312" w:eastAsia="仿宋_GB2312"/>
          <w:sz w:val="24"/>
          <w:szCs w:val="24"/>
          <w:highlight w:val="none"/>
        </w:rPr>
        <w:t>，联系电话</w:t>
      </w:r>
      <w:r>
        <w:rPr>
          <w:rFonts w:hint="eastAsia" w:ascii="仿宋_GB2312" w:eastAsia="仿宋_GB2312"/>
          <w:sz w:val="24"/>
          <w:szCs w:val="24"/>
          <w:highlight w:val="none"/>
          <w:u w:val="single"/>
        </w:rPr>
        <w:t xml:space="preserve">             </w:t>
      </w:r>
      <w:r>
        <w:rPr>
          <w:rFonts w:hint="eastAsia" w:ascii="仿宋_GB2312" w:eastAsia="仿宋_GB2312"/>
          <w:sz w:val="24"/>
          <w:szCs w:val="24"/>
          <w:highlight w:val="none"/>
        </w:rPr>
        <w:t xml:space="preserve"> 。</w:t>
      </w:r>
    </w:p>
    <w:p w14:paraId="0DAB5BC9">
      <w:pPr>
        <w:spacing w:before="156" w:beforeLines="50" w:after="156" w:afterLines="50" w:line="360" w:lineRule="auto"/>
        <w:rPr>
          <w:rFonts w:hint="eastAsia" w:ascii="仿宋_GB2312" w:eastAsia="仿宋_GB2312"/>
          <w:b/>
          <w:sz w:val="24"/>
          <w:szCs w:val="24"/>
          <w:highlight w:val="none"/>
        </w:rPr>
      </w:pPr>
      <w:r>
        <w:rPr>
          <w:rFonts w:hint="eastAsia" w:ascii="仿宋_GB2312" w:eastAsia="仿宋_GB2312"/>
          <w:b/>
          <w:sz w:val="24"/>
          <w:szCs w:val="24"/>
          <w:highlight w:val="none"/>
        </w:rPr>
        <w:t>六、货款结算方式：</w:t>
      </w:r>
    </w:p>
    <w:p w14:paraId="47C1700D">
      <w:pPr>
        <w:spacing w:line="360" w:lineRule="auto"/>
        <w:ind w:firstLine="480" w:firstLineChars="200"/>
        <w:rPr>
          <w:rFonts w:hint="eastAsia" w:ascii="仿宋_GB2312" w:eastAsia="仿宋_GB2312"/>
          <w:sz w:val="24"/>
          <w:szCs w:val="24"/>
          <w:highlight w:val="none"/>
        </w:rPr>
      </w:pPr>
      <w:r>
        <w:rPr>
          <w:rFonts w:hint="eastAsia" w:ascii="仿宋_GB2312" w:eastAsia="仿宋_GB2312"/>
          <w:sz w:val="24"/>
          <w:szCs w:val="24"/>
          <w:highlight w:val="none"/>
        </w:rPr>
        <w:t>（一）本项目将采取按季度付款的方式。服务期开始满一个季度后经考核达到服务标准，次月支付合同总价的四分之一款项即人民币 ******（大写）          。</w:t>
      </w:r>
    </w:p>
    <w:p w14:paraId="3C7E59EE">
      <w:pPr>
        <w:spacing w:line="360" w:lineRule="auto"/>
        <w:ind w:firstLine="480" w:firstLineChars="200"/>
        <w:rPr>
          <w:rFonts w:hint="eastAsia" w:ascii="仿宋_GB2312" w:eastAsia="仿宋_GB2312"/>
          <w:sz w:val="24"/>
          <w:szCs w:val="24"/>
          <w:highlight w:val="none"/>
        </w:rPr>
      </w:pPr>
      <w:r>
        <w:rPr>
          <w:rFonts w:hint="eastAsia" w:ascii="仿宋_GB2312" w:eastAsia="仿宋_GB2312"/>
          <w:sz w:val="24"/>
          <w:szCs w:val="24"/>
          <w:highlight w:val="none"/>
        </w:rPr>
        <w:t>（二）支付方式：银行转账。</w:t>
      </w:r>
    </w:p>
    <w:p w14:paraId="72047904">
      <w:pPr>
        <w:spacing w:line="360" w:lineRule="auto"/>
        <w:ind w:firstLine="480" w:firstLineChars="200"/>
        <w:rPr>
          <w:rFonts w:hint="eastAsia" w:ascii="仿宋_GB2312" w:eastAsia="仿宋_GB2312"/>
          <w:sz w:val="24"/>
          <w:szCs w:val="24"/>
          <w:highlight w:val="none"/>
        </w:rPr>
      </w:pPr>
      <w:r>
        <w:rPr>
          <w:rFonts w:hint="eastAsia" w:ascii="仿宋_GB2312" w:eastAsia="仿宋_GB2312"/>
          <w:sz w:val="24"/>
          <w:szCs w:val="24"/>
          <w:highlight w:val="none"/>
        </w:rPr>
        <w:t>（三）结算方式：乙方开具运营服务合规发票，服务合同与甲方结算。</w:t>
      </w:r>
    </w:p>
    <w:p w14:paraId="2BB1BD9B">
      <w:pPr>
        <w:spacing w:line="360" w:lineRule="auto"/>
        <w:ind w:firstLine="480" w:firstLineChars="200"/>
        <w:rPr>
          <w:rFonts w:hint="eastAsia" w:ascii="仿宋_GB2312" w:eastAsia="仿宋_GB2312"/>
          <w:sz w:val="24"/>
          <w:szCs w:val="24"/>
          <w:highlight w:val="none"/>
        </w:rPr>
      </w:pPr>
      <w:r>
        <w:rPr>
          <w:rFonts w:hint="eastAsia" w:ascii="仿宋_GB2312" w:eastAsia="仿宋_GB2312"/>
          <w:sz w:val="24"/>
          <w:szCs w:val="24"/>
          <w:highlight w:val="none"/>
        </w:rPr>
        <w:t>（</w:t>
      </w:r>
      <w:r>
        <w:rPr>
          <w:rFonts w:hint="eastAsia" w:ascii="仿宋_GB2312" w:eastAsia="仿宋_GB2312"/>
          <w:sz w:val="24"/>
          <w:szCs w:val="24"/>
          <w:highlight w:val="none"/>
          <w:lang w:val="en-US" w:eastAsia="zh-CN"/>
        </w:rPr>
        <w:t>四</w:t>
      </w:r>
      <w:r>
        <w:rPr>
          <w:rFonts w:hint="eastAsia" w:ascii="仿宋_GB2312" w:eastAsia="仿宋_GB2312"/>
          <w:sz w:val="24"/>
          <w:szCs w:val="24"/>
          <w:highlight w:val="none"/>
        </w:rPr>
        <w:t>）支付方式：甲方直接将货款通过银行转账的方式转入乙方指定的专用账号。</w:t>
      </w:r>
    </w:p>
    <w:p w14:paraId="319A989D">
      <w:pPr>
        <w:spacing w:before="156" w:beforeLines="50" w:after="156" w:afterLines="50" w:line="360" w:lineRule="auto"/>
        <w:rPr>
          <w:rFonts w:hint="eastAsia" w:ascii="仿宋_GB2312" w:eastAsia="仿宋_GB2312"/>
          <w:b/>
          <w:sz w:val="24"/>
          <w:szCs w:val="24"/>
          <w:highlight w:val="none"/>
        </w:rPr>
      </w:pPr>
      <w:r>
        <w:rPr>
          <w:rFonts w:hint="eastAsia" w:ascii="仿宋_GB2312" w:eastAsia="仿宋_GB2312"/>
          <w:b/>
          <w:sz w:val="24"/>
          <w:szCs w:val="24"/>
          <w:highlight w:val="none"/>
        </w:rPr>
        <w:t>七、服务保证：</w:t>
      </w:r>
    </w:p>
    <w:p w14:paraId="575D646A">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1.</w:t>
      </w:r>
      <w:r>
        <w:rPr>
          <w:rFonts w:hint="eastAsia" w:ascii="仿宋_GB2312" w:hAnsi="仿宋" w:eastAsia="仿宋_GB2312"/>
          <w:bCs/>
          <w:color w:val="000000"/>
          <w:sz w:val="24"/>
          <w:szCs w:val="24"/>
          <w:highlight w:val="none"/>
        </w:rPr>
        <w:t xml:space="preserve"> 成交供应商</w:t>
      </w:r>
      <w:r>
        <w:rPr>
          <w:rFonts w:hint="eastAsia" w:ascii="仿宋_GB2312" w:hAnsi="宋体" w:eastAsia="仿宋_GB2312" w:cs="宋体"/>
          <w:sz w:val="24"/>
          <w:szCs w:val="24"/>
          <w:highlight w:val="none"/>
        </w:rPr>
        <w:t>制定出服务工作计划。</w:t>
      </w:r>
    </w:p>
    <w:p w14:paraId="4815F1EE">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2.</w:t>
      </w:r>
      <w:r>
        <w:rPr>
          <w:rFonts w:hint="eastAsia" w:ascii="仿宋_GB2312" w:hAnsi="仿宋" w:eastAsia="仿宋_GB2312"/>
          <w:bCs/>
          <w:color w:val="000000"/>
          <w:sz w:val="24"/>
          <w:szCs w:val="24"/>
          <w:highlight w:val="none"/>
        </w:rPr>
        <w:t xml:space="preserve"> 成交供应商</w:t>
      </w:r>
      <w:r>
        <w:rPr>
          <w:rFonts w:hint="eastAsia" w:ascii="仿宋_GB2312" w:hAnsi="宋体" w:eastAsia="仿宋_GB2312" w:cs="宋体"/>
          <w:sz w:val="24"/>
          <w:szCs w:val="24"/>
          <w:highlight w:val="none"/>
        </w:rPr>
        <w:t>提供的服务人员不少于</w:t>
      </w:r>
      <w:r>
        <w:rPr>
          <w:rFonts w:hint="eastAsia" w:ascii="仿宋_GB2312" w:hAnsi="宋体" w:eastAsia="仿宋_GB2312" w:cs="宋体"/>
          <w:sz w:val="24"/>
          <w:szCs w:val="24"/>
          <w:highlight w:val="none"/>
          <w:u w:val="single"/>
        </w:rPr>
        <w:t xml:space="preserve">   </w:t>
      </w:r>
      <w:r>
        <w:rPr>
          <w:rFonts w:hint="eastAsia" w:ascii="仿宋_GB2312" w:hAnsi="宋体" w:eastAsia="仿宋_GB2312" w:cs="宋体"/>
          <w:sz w:val="24"/>
          <w:szCs w:val="24"/>
          <w:highlight w:val="none"/>
        </w:rPr>
        <w:t>人，有专门的项目经理（不得同时兼任其他项目）和主管人员，分工明确（应有具体成员名单，包括姓名、职务、职称、工作职责、联系方式等）。</w:t>
      </w:r>
    </w:p>
    <w:p w14:paraId="6EDAF593">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3.有客户回访安排。</w:t>
      </w:r>
    </w:p>
    <w:p w14:paraId="67FFF9A2">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4.设有专人投诉举报电话，有专人接听记录、受理。</w:t>
      </w:r>
    </w:p>
    <w:p w14:paraId="20220D6B">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5.有服务保障措施，服务人员因病因事请假应当及时替补，不得影响服务工作正常进行，对服务态度、服务质量较差的保洁人员有具体处罚办法。</w:t>
      </w:r>
    </w:p>
    <w:p w14:paraId="7B46F5CC">
      <w:pPr>
        <w:spacing w:before="156" w:beforeLines="50" w:after="156" w:afterLines="50" w:line="360" w:lineRule="auto"/>
        <w:rPr>
          <w:rFonts w:hint="eastAsia" w:ascii="仿宋_GB2312" w:eastAsia="仿宋_GB2312"/>
          <w:b/>
          <w:sz w:val="24"/>
          <w:szCs w:val="24"/>
          <w:highlight w:val="none"/>
        </w:rPr>
      </w:pPr>
      <w:r>
        <w:rPr>
          <w:rFonts w:hint="eastAsia" w:ascii="仿宋_GB2312" w:eastAsia="仿宋_GB2312"/>
          <w:b/>
          <w:sz w:val="24"/>
          <w:szCs w:val="24"/>
          <w:highlight w:val="none"/>
        </w:rPr>
        <w:t>八、验收：</w:t>
      </w:r>
    </w:p>
    <w:p w14:paraId="251E000E">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1.服务期满后，甲方进行验收，确认服务标准和服务方式是否达到采购要求（必要时甲方可委托技术专家对项目进行验收）。验收合格后，填写项目验收单（一式伍份）作为对项目的最终认可。</w:t>
      </w:r>
    </w:p>
    <w:p w14:paraId="78717D54">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2.验收依据</w:t>
      </w:r>
    </w:p>
    <w:p w14:paraId="4A158C9F">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（1）竞争性磋商文件、响应文件、澄清表（函）。</w:t>
      </w:r>
    </w:p>
    <w:p w14:paraId="1B9B4408">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（2）本合同及附件文本。</w:t>
      </w:r>
    </w:p>
    <w:p w14:paraId="40CDC427">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（3）合同签订时国家及行业现行的标准和技术规范。</w:t>
      </w:r>
    </w:p>
    <w:p w14:paraId="172DF95D">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3.乙方应向甲方提交项目实施过程中的所有资料，以便甲方日后管理。</w:t>
      </w:r>
    </w:p>
    <w:p w14:paraId="717AAB82">
      <w:pPr>
        <w:spacing w:before="156" w:beforeLines="50" w:after="156" w:afterLines="50" w:line="360" w:lineRule="auto"/>
        <w:rPr>
          <w:rFonts w:hint="eastAsia" w:ascii="仿宋_GB2312" w:eastAsia="仿宋_GB2312"/>
          <w:b/>
          <w:sz w:val="24"/>
          <w:szCs w:val="24"/>
          <w:highlight w:val="none"/>
        </w:rPr>
      </w:pPr>
      <w:r>
        <w:rPr>
          <w:rFonts w:hint="eastAsia" w:ascii="仿宋_GB2312" w:eastAsia="仿宋_GB2312"/>
          <w:b/>
          <w:sz w:val="24"/>
          <w:szCs w:val="24"/>
          <w:highlight w:val="none"/>
        </w:rPr>
        <w:t>九、权利和义务：</w:t>
      </w:r>
    </w:p>
    <w:p w14:paraId="3F85B08B">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（一）甲方的权利和义务</w:t>
      </w:r>
    </w:p>
    <w:p w14:paraId="38ACD790">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1、在乙方进行现场维护时，甲方应在维护设备附近为乙方人员提供贮物空间，为乙方维保工作提供便利。</w:t>
      </w:r>
    </w:p>
    <w:p w14:paraId="06365929">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2、在甲方安全规定允许的前提下，为乙方的人员进入维护现场提供方便。</w:t>
      </w:r>
    </w:p>
    <w:p w14:paraId="433DA1FB">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4、在维保工程中如设备出现故障或损坏无法运行时，应乙方维保要求，甲方需提供所需维保服务的所有设备的产品型号、序列号、配置、购买时间、安装地点和设备用途等信息。</w:t>
      </w:r>
    </w:p>
    <w:p w14:paraId="6B7BE6CE">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5、甲方有权对乙方工程师的工作态度、技术水平进行监督和评判并提出相应的要求，乙方也会由独立的服务质量监督人员对甲方予以不定期的回访。</w:t>
      </w:r>
    </w:p>
    <w:p w14:paraId="68BF045D">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6、未经甲方书面同意，乙方不得将本合同部分或全部技术服务工作转让给第三人承担，但不包括转让给维护产品的原厂商进行服务。甲方不对乙方将本合同部分或者全部服务工作转让给第三人所产生的费用负责,如发生此类情况，视为乙方违约，乙方自行承担费用，同时甲方有权要求乙方承担合同总价款30%的违约金。</w:t>
      </w:r>
    </w:p>
    <w:p w14:paraId="407B579A">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（二）乙方的权利和义务</w:t>
      </w:r>
    </w:p>
    <w:p w14:paraId="5594D86D">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1、乙方确保提供维保服务的设备能够稳定安全的运行。保证备件和备机的技术指标先进、产品全新、质量性能可靠、进货渠道正常，配置合理，全面满足磋商文件要求。</w:t>
      </w:r>
    </w:p>
    <w:p w14:paraId="2028CF97">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2、 在合同服务期内提供专业化技术人员在甲方现场驻守，确保系统正常运行及机房安全。当机房内任何设备出现故障时，乙方技术人员能够及时发现，并及时通知甲方工作人员及设备维保公司。</w:t>
      </w:r>
    </w:p>
    <w:p w14:paraId="47C4CBEC">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3、乙方为甲方提供每日巡检，做好预防性维护。</w:t>
      </w:r>
    </w:p>
    <w:p w14:paraId="5078265E">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4、乙方保证在甲方现场的工作人员严格按照甲方现场管理要求和工作纪律行事。服务工作时造成乙方服务人员伤害的，甲方不负责任,乙方自行全部承担。</w:t>
      </w:r>
    </w:p>
    <w:p w14:paraId="2BD79677">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5、因乙方技术问题或维护问题造成甲方的硬件受到损坏，乙方应负责赔偿甲方因此所遭受的全部损失。</w:t>
      </w:r>
    </w:p>
    <w:p w14:paraId="16F837AF">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6、乙方在接到甲方紧急事故报告后，必须赶乘最快交通工具到达现场不得拖延。</w:t>
      </w:r>
    </w:p>
    <w:p w14:paraId="547EC510">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7、乙方应按甲方要求如期向甲方交付相关文档，如定期的巡检报告、服务月度报告、现场服务单、设备维修保养记录等不得拖延。</w:t>
      </w:r>
    </w:p>
    <w:p w14:paraId="40660B93">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8、乙方应当保证，依本合同为甲方提供的技术服务过程和其为甲方提供的服务成果不侵犯任何第三人的合法权益。如果有人提出法律诉讼或启动行政程序（合称“侵权指控”），声称甲方使用的技术服务成果侵犯了其知识产权，乙方同意赔偿甲方就此所承担的所有费用和给甲方造成的损失。</w:t>
      </w:r>
    </w:p>
    <w:p w14:paraId="36ED8329">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如果在侵权指控的审理过程中有关法院或行政机关禁止甲方继续使用技术服务成果的部分或全部，乙方应当采取以下措施之一避免甲方损失的扩大，同时应对甲方造成的损失给予全额赔偿：</w:t>
      </w:r>
    </w:p>
    <w:p w14:paraId="3CDD69AF">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（1）使甲方重新获得使用上述技术服务成果的权利；</w:t>
      </w:r>
    </w:p>
    <w:p w14:paraId="244723CC">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（2）更换或改造上述技术服务成果，使甲方不受上述禁令限制继续使用技术服务成果。</w:t>
      </w:r>
    </w:p>
    <w:p w14:paraId="3E3FDD47">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9、乙方为履行本合同约定义务，所需更换的备件的运输及运输费用由乙方负责，运杂费已包含在技术服务费总价内。</w:t>
      </w:r>
    </w:p>
    <w:p w14:paraId="175228E7">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10、乙方应严格按照运营计划提供合格的污水站运营服务，履行设备维修保养等并留有相关详细的书面记录。</w:t>
      </w:r>
    </w:p>
    <w:p w14:paraId="258F3903">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11、对污水处理站小设备应及时检修并严格执行。设备维修期间如影响水质，按程序报备有关部门，做好相应记录。</w:t>
      </w:r>
    </w:p>
    <w:p w14:paraId="3019AFE4">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12、乙方负责工作人员在甲方现场的人身及财产的安全，如发生任何事故，乙方应自行承担,与甲方无关，除非损害是甲方故意造成的。</w:t>
      </w:r>
    </w:p>
    <w:p w14:paraId="6279B7FA">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13、乙方及时将本合同下维保范围内出现的故障情况通知甲方，乙方负责做好故障有关资料的记录工作形成相应报告并对设备进行维保。</w:t>
      </w:r>
    </w:p>
    <w:p w14:paraId="6CDE0BB0">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14、乙方负责提供故障的相关系统或设备资料数据和原始记录。</w:t>
      </w:r>
    </w:p>
    <w:p w14:paraId="36B29B13">
      <w:pPr>
        <w:spacing w:before="156" w:beforeLines="50" w:after="156" w:afterLines="50" w:line="360" w:lineRule="auto"/>
        <w:rPr>
          <w:rFonts w:hint="eastAsia" w:ascii="仿宋_GB2312" w:hAnsi="Arial" w:eastAsia="仿宋_GB2312" w:cs="Arial"/>
          <w:b/>
          <w:sz w:val="24"/>
          <w:szCs w:val="24"/>
          <w:highlight w:val="none"/>
        </w:rPr>
      </w:pPr>
      <w:r>
        <w:rPr>
          <w:rFonts w:hint="eastAsia" w:ascii="仿宋_GB2312" w:hAnsi="Arial" w:eastAsia="仿宋_GB2312" w:cs="Arial"/>
          <w:b/>
          <w:sz w:val="24"/>
          <w:szCs w:val="24"/>
          <w:highlight w:val="none"/>
        </w:rPr>
        <w:t>十、成交供应商管理要求：</w:t>
      </w:r>
    </w:p>
    <w:p w14:paraId="4B2FF0D3">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1.依据有关规范和磋商要求，负责拟定各项服务规范、操作流程、管理制度；</w:t>
      </w:r>
    </w:p>
    <w:p w14:paraId="59A5FD7B">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2.加强各项服务工作的管理，负责检查、指导、监督各项服务工作按时按要求完成；</w:t>
      </w:r>
    </w:p>
    <w:p w14:paraId="4666D11E">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3.设计相关工作信息表单，负责检查各项检查工作记录是否及时、准确、完整；</w:t>
      </w:r>
    </w:p>
    <w:p w14:paraId="61683A97">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4.负责做好服务人员的考勤、考核；人员补充等管理工作；</w:t>
      </w:r>
    </w:p>
    <w:p w14:paraId="0664A4F5">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5.制定培训计划，每月定期对员工进行教育培训，加强服务人员教育，不断提高服务人员的服务技能和素质；</w:t>
      </w:r>
    </w:p>
    <w:p w14:paraId="1DF7BA9A">
      <w:pPr>
        <w:snapToGrid w:val="0"/>
        <w:spacing w:line="360" w:lineRule="auto"/>
        <w:rPr>
          <w:rFonts w:hint="eastAsia" w:ascii="仿宋_GB2312" w:hAnsi="宋体" w:eastAsia="仿宋_GB2312" w:cs="宋体"/>
          <w:b/>
          <w:bCs/>
          <w:sz w:val="24"/>
          <w:szCs w:val="24"/>
          <w:highlight w:val="none"/>
        </w:rPr>
      </w:pPr>
      <w:r>
        <w:rPr>
          <w:rFonts w:hint="eastAsia" w:ascii="仿宋_GB2312" w:hAnsi="宋体" w:eastAsia="仿宋_GB2312" w:cs="宋体"/>
          <w:b/>
          <w:bCs/>
          <w:sz w:val="24"/>
          <w:szCs w:val="24"/>
          <w:highlight w:val="none"/>
        </w:rPr>
        <w:t>十一、违约责任：</w:t>
      </w:r>
    </w:p>
    <w:p w14:paraId="52F1DCAC">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1.由双方按《民法典》中的相关原则经平等协商后补充。</w:t>
      </w:r>
    </w:p>
    <w:p w14:paraId="7FA9D187">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2.未按合同要求提供服务或服务质量不能满足合同要求，甲方应当将乙方违约的情况以及拟采取的措施以书面形式报采购监管部门，根据采购监管部门的处理意见，甲方有权依据《民法典》及合同有关条款终止合同，并要求乙方承担违约责任。同时，政府采购监管部门有权依据《政府采购法》及相关法律法规对乙方的违法行为进行相应的处罚。</w:t>
      </w:r>
    </w:p>
    <w:p w14:paraId="57DCD517">
      <w:pPr>
        <w:snapToGrid w:val="0"/>
        <w:spacing w:line="360" w:lineRule="auto"/>
        <w:rPr>
          <w:rFonts w:hint="eastAsia" w:ascii="仿宋_GB2312" w:hAnsi="宋体" w:eastAsia="仿宋_GB2312" w:cs="宋体"/>
          <w:b/>
          <w:bCs/>
          <w:sz w:val="24"/>
          <w:szCs w:val="24"/>
          <w:highlight w:val="none"/>
        </w:rPr>
      </w:pPr>
      <w:r>
        <w:rPr>
          <w:rFonts w:hint="eastAsia" w:ascii="仿宋_GB2312" w:hAnsi="宋体" w:eastAsia="仿宋_GB2312" w:cs="宋体"/>
          <w:b/>
          <w:bCs/>
          <w:sz w:val="24"/>
          <w:szCs w:val="24"/>
          <w:highlight w:val="none"/>
        </w:rPr>
        <w:t>十二、合同终止条款：</w:t>
      </w:r>
    </w:p>
    <w:p w14:paraId="05BF4199">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出现以下情况时，采购人有权提前终止合同。</w:t>
      </w:r>
    </w:p>
    <w:p w14:paraId="58FC94BA">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1.</w:t>
      </w:r>
      <w:r>
        <w:rPr>
          <w:rFonts w:hint="eastAsia" w:ascii="仿宋_GB2312" w:hAnsi="仿宋" w:eastAsia="仿宋_GB2312"/>
          <w:bCs/>
          <w:color w:val="000000"/>
          <w:sz w:val="24"/>
          <w:szCs w:val="24"/>
          <w:highlight w:val="none"/>
        </w:rPr>
        <w:t xml:space="preserve"> 成交供应商</w:t>
      </w:r>
      <w:r>
        <w:rPr>
          <w:rFonts w:hint="eastAsia" w:ascii="仿宋_GB2312" w:hAnsi="宋体" w:eastAsia="仿宋_GB2312" w:cs="宋体"/>
          <w:sz w:val="24"/>
          <w:szCs w:val="24"/>
          <w:highlight w:val="none"/>
        </w:rPr>
        <w:t>不能满足院采购方实际工作需要，不服从甲方日常工作管理。</w:t>
      </w:r>
    </w:p>
    <w:p w14:paraId="24DC4880">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2.因</w:t>
      </w:r>
      <w:r>
        <w:rPr>
          <w:rFonts w:hint="eastAsia" w:ascii="仿宋_GB2312" w:hAnsi="仿宋" w:eastAsia="仿宋_GB2312"/>
          <w:bCs/>
          <w:color w:val="000000"/>
          <w:sz w:val="24"/>
          <w:szCs w:val="24"/>
          <w:highlight w:val="none"/>
        </w:rPr>
        <w:t>成交供应商</w:t>
      </w:r>
      <w:r>
        <w:rPr>
          <w:rFonts w:hint="eastAsia" w:ascii="仿宋_GB2312" w:hAnsi="宋体" w:eastAsia="仿宋_GB2312" w:cs="宋体"/>
          <w:sz w:val="24"/>
          <w:szCs w:val="24"/>
          <w:highlight w:val="none"/>
        </w:rPr>
        <w:t>管理不到位，造成恶性事件，给甲方声誉带来严重影响的。</w:t>
      </w:r>
    </w:p>
    <w:p w14:paraId="20892C24">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3.对于甲方造成损失的，依据鉴定给予赔偿，涉及法律或司法处理的，除赔偿外终止本合同。</w:t>
      </w:r>
    </w:p>
    <w:p w14:paraId="5CF57935">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4.发生各类突发性应急事件或甲方举行重大活动，</w:t>
      </w:r>
      <w:r>
        <w:rPr>
          <w:rFonts w:hint="eastAsia" w:ascii="仿宋_GB2312" w:hAnsi="仿宋" w:eastAsia="仿宋_GB2312"/>
          <w:bCs/>
          <w:color w:val="000000"/>
          <w:sz w:val="24"/>
          <w:szCs w:val="24"/>
          <w:highlight w:val="none"/>
        </w:rPr>
        <w:t>成交供应商</w:t>
      </w:r>
      <w:r>
        <w:rPr>
          <w:rFonts w:hint="eastAsia" w:ascii="仿宋_GB2312" w:hAnsi="宋体" w:eastAsia="仿宋_GB2312" w:cs="宋体"/>
          <w:sz w:val="24"/>
          <w:szCs w:val="24"/>
          <w:highlight w:val="none"/>
        </w:rPr>
        <w:t>不服从甲方统一调配的。</w:t>
      </w:r>
    </w:p>
    <w:p w14:paraId="540D63EA">
      <w:pPr>
        <w:snapToGrid w:val="0"/>
        <w:spacing w:line="360" w:lineRule="auto"/>
        <w:ind w:firstLine="480" w:firstLineChars="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5.</w:t>
      </w:r>
      <w:r>
        <w:rPr>
          <w:rFonts w:hint="eastAsia" w:ascii="仿宋_GB2312" w:hAnsi="仿宋" w:eastAsia="仿宋_GB2312"/>
          <w:bCs/>
          <w:color w:val="000000"/>
          <w:sz w:val="24"/>
          <w:szCs w:val="24"/>
          <w:highlight w:val="none"/>
        </w:rPr>
        <w:t xml:space="preserve"> 成交供应商</w:t>
      </w:r>
      <w:r>
        <w:rPr>
          <w:rFonts w:hint="eastAsia" w:ascii="仿宋_GB2312" w:hAnsi="宋体" w:eastAsia="仿宋_GB2312" w:cs="宋体"/>
          <w:sz w:val="24"/>
          <w:szCs w:val="24"/>
          <w:highlight w:val="none"/>
        </w:rPr>
        <w:t>在合同期间及服务过程中，给采购人造成重大责任事故或恶劣社会影响的。</w:t>
      </w:r>
    </w:p>
    <w:p w14:paraId="3F3AAB50">
      <w:pPr>
        <w:spacing w:line="360" w:lineRule="auto"/>
        <w:rPr>
          <w:rFonts w:hint="eastAsia" w:ascii="仿宋_GB2312" w:eastAsia="仿宋_GB2312"/>
          <w:b/>
          <w:sz w:val="24"/>
          <w:szCs w:val="24"/>
          <w:highlight w:val="none"/>
        </w:rPr>
      </w:pPr>
      <w:r>
        <w:rPr>
          <w:rFonts w:hint="eastAsia" w:ascii="仿宋_GB2312" w:eastAsia="仿宋_GB2312"/>
          <w:b/>
          <w:sz w:val="24"/>
          <w:szCs w:val="24"/>
          <w:highlight w:val="none"/>
        </w:rPr>
        <w:t>十三、合同的变更和解除：</w:t>
      </w:r>
    </w:p>
    <w:p w14:paraId="6B9FA9B7">
      <w:pPr>
        <w:spacing w:line="360" w:lineRule="auto"/>
        <w:ind w:firstLine="480" w:firstLineChars="200"/>
        <w:rPr>
          <w:rFonts w:hint="eastAsia" w:ascii="仿宋_GB2312" w:eastAsia="仿宋_GB2312"/>
          <w:sz w:val="24"/>
          <w:szCs w:val="24"/>
          <w:highlight w:val="none"/>
        </w:rPr>
      </w:pPr>
      <w:r>
        <w:rPr>
          <w:rFonts w:hint="eastAsia" w:ascii="仿宋_GB2312" w:eastAsia="仿宋_GB2312"/>
          <w:sz w:val="24"/>
          <w:szCs w:val="24"/>
          <w:highlight w:val="none"/>
        </w:rPr>
        <w:t>1.因合同变更、解除造成损失的，过错方应当承担赔偿责任，双方都有过错的，甲乙双方应当各自承担相应的责任。</w:t>
      </w:r>
    </w:p>
    <w:p w14:paraId="69BEE1E9">
      <w:pPr>
        <w:spacing w:line="360" w:lineRule="auto"/>
        <w:ind w:firstLine="480" w:firstLineChars="200"/>
        <w:rPr>
          <w:rFonts w:hint="eastAsia" w:ascii="仿宋_GB2312" w:eastAsia="仿宋_GB2312"/>
          <w:sz w:val="24"/>
          <w:szCs w:val="24"/>
          <w:highlight w:val="none"/>
        </w:rPr>
      </w:pPr>
      <w:r>
        <w:rPr>
          <w:rFonts w:hint="eastAsia" w:ascii="仿宋_GB2312" w:eastAsia="仿宋_GB2312"/>
          <w:sz w:val="24"/>
          <w:szCs w:val="24"/>
          <w:highlight w:val="none"/>
        </w:rPr>
        <w:t>2.合同履行中，经甲乙双方协商一致，并由甲方按照有关规定办理审批后，可以变更合同。</w:t>
      </w:r>
    </w:p>
    <w:p w14:paraId="432B81AF">
      <w:pPr>
        <w:spacing w:line="360" w:lineRule="auto"/>
        <w:ind w:firstLine="480" w:firstLineChars="200"/>
        <w:rPr>
          <w:rFonts w:hint="eastAsia" w:ascii="仿宋_GB2312" w:eastAsia="仿宋_GB2312"/>
          <w:sz w:val="24"/>
          <w:szCs w:val="24"/>
          <w:highlight w:val="none"/>
        </w:rPr>
      </w:pPr>
      <w:r>
        <w:rPr>
          <w:rFonts w:hint="eastAsia" w:ascii="仿宋_GB2312" w:eastAsia="仿宋_GB2312"/>
          <w:sz w:val="24"/>
          <w:szCs w:val="24"/>
          <w:highlight w:val="none"/>
        </w:rPr>
        <w:t>3.合同履行中，存在以下情形之一的，甲方有权解除合同：①因不可抗力无法履行合同，不能实现合同目的；②继续履行合同将损害国家或者医院利益，且无法通过合同变更或者中止方式解决；③采购任务调整或者取消，不能通过合同变更方式达成新协议；④乙方明确表示或者以自己的行为表明不履行合同主要义务；⑤乙方迟延履行合同主要义务，经催告后在限定合理整改期限内仍不履行；⑥乙方存在违规违约行为致使不能实现合同目的；⑦乙方</w:t>
      </w:r>
      <w:r>
        <w:rPr>
          <w:rFonts w:hint="eastAsia" w:ascii="仿宋_GB2312" w:eastAsia="仿宋_GB2312"/>
          <w:sz w:val="24"/>
          <w:szCs w:val="24"/>
          <w:highlight w:val="none"/>
          <w:lang w:val="zh-CN"/>
        </w:rPr>
        <w:t>发生控股关系、经营范围等重大实质性变化，不符合合同约定的；⑧</w:t>
      </w:r>
      <w:r>
        <w:rPr>
          <w:rFonts w:hint="eastAsia" w:ascii="仿宋_GB2312" w:eastAsia="仿宋_GB2312"/>
          <w:sz w:val="24"/>
          <w:szCs w:val="24"/>
          <w:highlight w:val="none"/>
        </w:rPr>
        <w:t>国家法律法规规定或者合同约定的其他情形。</w:t>
      </w:r>
    </w:p>
    <w:p w14:paraId="1BDA9928">
      <w:pPr>
        <w:spacing w:line="360" w:lineRule="auto"/>
        <w:rPr>
          <w:rFonts w:hint="eastAsia" w:ascii="仿宋_GB2312" w:eastAsia="仿宋_GB2312"/>
          <w:b/>
          <w:sz w:val="24"/>
          <w:szCs w:val="24"/>
          <w:highlight w:val="none"/>
        </w:rPr>
      </w:pPr>
      <w:r>
        <w:rPr>
          <w:rFonts w:hint="eastAsia" w:ascii="仿宋_GB2312" w:eastAsia="仿宋_GB2312"/>
          <w:b/>
          <w:sz w:val="24"/>
          <w:szCs w:val="24"/>
          <w:highlight w:val="none"/>
        </w:rPr>
        <w:t>十四、履约监督</w:t>
      </w:r>
    </w:p>
    <w:p w14:paraId="03798AB3">
      <w:pPr>
        <w:spacing w:line="360" w:lineRule="auto"/>
        <w:ind w:firstLine="480" w:firstLineChars="200"/>
        <w:rPr>
          <w:rFonts w:hint="eastAsia" w:ascii="仿宋_GB2312" w:eastAsia="仿宋_GB2312"/>
          <w:bCs/>
          <w:sz w:val="24"/>
          <w:szCs w:val="24"/>
          <w:highlight w:val="none"/>
        </w:rPr>
      </w:pPr>
      <w:r>
        <w:rPr>
          <w:rFonts w:hint="eastAsia" w:ascii="仿宋_GB2312" w:eastAsia="仿宋_GB2312"/>
          <w:bCs/>
          <w:sz w:val="24"/>
          <w:szCs w:val="24"/>
          <w:highlight w:val="none"/>
        </w:rPr>
        <w:t>1.乙方承诺接受甲方对其资质和履约能力进行监管，并保证在其资质和履约能力发生变化时向甲方通报，乙方存在法律规定的丧失或者可能丧失合同履行能力有关情形是，甲方有权中止合同。</w:t>
      </w:r>
    </w:p>
    <w:p w14:paraId="1A450400">
      <w:pPr>
        <w:spacing w:line="360" w:lineRule="auto"/>
        <w:ind w:firstLine="480" w:firstLineChars="200"/>
        <w:rPr>
          <w:rFonts w:hint="eastAsia" w:ascii="仿宋_GB2312" w:eastAsia="仿宋_GB2312"/>
          <w:bCs/>
          <w:sz w:val="24"/>
          <w:szCs w:val="24"/>
          <w:highlight w:val="none"/>
        </w:rPr>
      </w:pPr>
      <w:r>
        <w:rPr>
          <w:rFonts w:hint="eastAsia" w:ascii="仿宋_GB2312" w:eastAsia="仿宋_GB2312"/>
          <w:bCs/>
          <w:sz w:val="24"/>
          <w:szCs w:val="24"/>
          <w:highlight w:val="none"/>
        </w:rPr>
        <w:t>2.乙方对于采购人、纪检监察部门、审计部门等职能部门开展的调查，承诺予以配合，如实反映情况，提供相关资料。</w:t>
      </w:r>
    </w:p>
    <w:p w14:paraId="4B732F8C">
      <w:pPr>
        <w:spacing w:line="360" w:lineRule="auto"/>
        <w:ind w:firstLine="480" w:firstLineChars="200"/>
        <w:rPr>
          <w:rFonts w:hint="eastAsia" w:ascii="仿宋_GB2312" w:eastAsia="仿宋_GB2312"/>
          <w:bCs/>
          <w:sz w:val="24"/>
          <w:szCs w:val="24"/>
          <w:highlight w:val="none"/>
        </w:rPr>
      </w:pPr>
      <w:r>
        <w:rPr>
          <w:rFonts w:hint="eastAsia" w:ascii="仿宋_GB2312" w:eastAsia="仿宋_GB2312"/>
          <w:bCs/>
          <w:sz w:val="24"/>
          <w:szCs w:val="24"/>
          <w:highlight w:val="none"/>
        </w:rPr>
        <w:t>3.乙方在合同订立、履行过程中，存在违法、违规、违约行为经查实的，承诺愿意无条件接受采购人根据有关规定给予的书面警告、限制参加我院采购活动等处罚。</w:t>
      </w:r>
    </w:p>
    <w:p w14:paraId="61504F16">
      <w:pPr>
        <w:spacing w:line="360" w:lineRule="auto"/>
        <w:ind w:firstLine="480" w:firstLineChars="200"/>
        <w:rPr>
          <w:rFonts w:hint="eastAsia" w:ascii="仿宋_GB2312" w:eastAsia="仿宋_GB2312"/>
          <w:bCs/>
          <w:sz w:val="24"/>
          <w:szCs w:val="24"/>
          <w:highlight w:val="none"/>
        </w:rPr>
      </w:pPr>
      <w:r>
        <w:rPr>
          <w:rFonts w:hint="eastAsia" w:ascii="仿宋_GB2312" w:eastAsia="仿宋_GB2312"/>
          <w:bCs/>
          <w:sz w:val="24"/>
          <w:szCs w:val="24"/>
          <w:highlight w:val="none"/>
        </w:rPr>
        <w:t>合同履行过程中，发生争议时，按照下列方式解决：</w:t>
      </w:r>
    </w:p>
    <w:p w14:paraId="6C08754D">
      <w:pPr>
        <w:spacing w:line="360" w:lineRule="auto"/>
        <w:ind w:firstLine="480" w:firstLineChars="200"/>
        <w:rPr>
          <w:rFonts w:hint="eastAsia" w:ascii="仿宋_GB2312" w:eastAsia="仿宋_GB2312"/>
          <w:bCs/>
          <w:sz w:val="24"/>
          <w:szCs w:val="24"/>
          <w:highlight w:val="none"/>
        </w:rPr>
      </w:pPr>
      <w:r>
        <w:rPr>
          <w:rFonts w:hint="eastAsia" w:ascii="仿宋_GB2312" w:eastAsia="仿宋_GB2312"/>
          <w:bCs/>
          <w:sz w:val="24"/>
          <w:szCs w:val="24"/>
          <w:highlight w:val="none"/>
        </w:rPr>
        <w:t>1.甲方和乙方协商解决。</w:t>
      </w:r>
    </w:p>
    <w:p w14:paraId="3D40BAF0">
      <w:pPr>
        <w:spacing w:line="360" w:lineRule="auto"/>
        <w:ind w:firstLine="480" w:firstLineChars="200"/>
        <w:rPr>
          <w:rFonts w:hint="eastAsia" w:ascii="仿宋_GB2312" w:eastAsia="仿宋_GB2312"/>
          <w:bCs/>
          <w:sz w:val="24"/>
          <w:szCs w:val="24"/>
          <w:highlight w:val="none"/>
        </w:rPr>
      </w:pPr>
      <w:r>
        <w:rPr>
          <w:rFonts w:hint="eastAsia" w:ascii="仿宋_GB2312" w:eastAsia="仿宋_GB2312"/>
          <w:bCs/>
          <w:sz w:val="24"/>
          <w:szCs w:val="24"/>
          <w:highlight w:val="none"/>
        </w:rPr>
        <w:t>2. 协商不成的，依法向采购方所在地人民法院起诉。仲裁费、诉讼费由承担责任的一方承担。在仲裁、诉讼期间，除正在仲裁、诉讼的部分外，合同的其他部分应继续执行。</w:t>
      </w:r>
    </w:p>
    <w:p w14:paraId="3C211D01">
      <w:pPr>
        <w:spacing w:line="360" w:lineRule="auto"/>
        <w:rPr>
          <w:rFonts w:hint="eastAsia" w:ascii="仿宋_GB2312" w:eastAsia="仿宋_GB2312"/>
          <w:b/>
          <w:sz w:val="24"/>
          <w:szCs w:val="24"/>
          <w:highlight w:val="none"/>
        </w:rPr>
      </w:pPr>
      <w:r>
        <w:rPr>
          <w:rFonts w:hint="eastAsia" w:ascii="仿宋_GB2312" w:eastAsia="仿宋_GB2312"/>
          <w:b/>
          <w:sz w:val="24"/>
          <w:szCs w:val="24"/>
          <w:highlight w:val="none"/>
        </w:rPr>
        <w:t>十五、合同生效：</w:t>
      </w:r>
    </w:p>
    <w:p w14:paraId="16245BAE">
      <w:pPr>
        <w:tabs>
          <w:tab w:val="left" w:pos="480"/>
        </w:tabs>
        <w:spacing w:line="360" w:lineRule="auto"/>
        <w:ind w:firstLine="480" w:firstLineChars="200"/>
        <w:rPr>
          <w:rFonts w:hint="eastAsia" w:ascii="仿宋_GB2312" w:hAnsi="宋体" w:eastAsia="仿宋_GB2312" w:cs="宋体"/>
          <w:sz w:val="24"/>
          <w:szCs w:val="24"/>
          <w:highlight w:val="none"/>
        </w:rPr>
      </w:pPr>
      <w:r>
        <w:rPr>
          <w:rFonts w:hint="eastAsia" w:ascii="仿宋_GB2312" w:eastAsia="仿宋_GB2312"/>
          <w:bCs/>
          <w:sz w:val="24"/>
          <w:szCs w:val="24"/>
          <w:highlight w:val="none"/>
        </w:rPr>
        <w:t>（一）本合同一式陆份，甲方肆份，乙方、见证方各一份。</w:t>
      </w:r>
      <w:r>
        <w:rPr>
          <w:rFonts w:hint="eastAsia" w:ascii="仿宋_GB2312" w:hAnsi="宋体" w:eastAsia="仿宋_GB2312" w:cs="宋体"/>
          <w:sz w:val="24"/>
          <w:szCs w:val="24"/>
          <w:highlight w:val="none"/>
        </w:rPr>
        <w:t>本合同经采购方、供应商、见证方三方签字盖章后生效，质保期结束后，自动终止（但合同的服务承诺及相关违约责任条款、争议解决方式条款除外）。</w:t>
      </w:r>
    </w:p>
    <w:p w14:paraId="5944306C">
      <w:pPr>
        <w:tabs>
          <w:tab w:val="left" w:pos="480"/>
        </w:tabs>
        <w:spacing w:line="360" w:lineRule="auto"/>
        <w:ind w:firstLine="480" w:firstLineChars="200"/>
        <w:rPr>
          <w:rFonts w:hint="eastAsia" w:ascii="仿宋_GB2312" w:eastAsia="仿宋_GB2312"/>
          <w:bCs/>
          <w:sz w:val="24"/>
          <w:szCs w:val="24"/>
          <w:highlight w:val="none"/>
        </w:rPr>
      </w:pPr>
      <w:r>
        <w:rPr>
          <w:rFonts w:hint="eastAsia" w:ascii="仿宋_GB2312" w:eastAsia="仿宋_GB2312"/>
          <w:bCs/>
          <w:sz w:val="24"/>
          <w:szCs w:val="24"/>
          <w:highlight w:val="none"/>
        </w:rPr>
        <w:t>（二）如本合同有未尽事宜，以磋商文件为准，磋商文件未做要求的，由甲、乙双方协商，经见证方确认后，签订补充协议，与原合同具有同等法律效力。</w:t>
      </w:r>
    </w:p>
    <w:p w14:paraId="69452865">
      <w:pPr>
        <w:tabs>
          <w:tab w:val="left" w:pos="480"/>
        </w:tabs>
        <w:spacing w:line="360" w:lineRule="auto"/>
        <w:ind w:firstLine="480" w:firstLineChars="200"/>
        <w:rPr>
          <w:rFonts w:hint="eastAsia" w:ascii="仿宋_GB2312" w:eastAsia="仿宋_GB2312"/>
          <w:bCs/>
          <w:sz w:val="24"/>
          <w:szCs w:val="24"/>
          <w:highlight w:val="none"/>
        </w:rPr>
      </w:pPr>
      <w:r>
        <w:rPr>
          <w:rFonts w:hint="eastAsia" w:ascii="仿宋_GB2312" w:eastAsia="仿宋_GB2312"/>
          <w:bCs/>
          <w:sz w:val="24"/>
          <w:szCs w:val="24"/>
          <w:highlight w:val="none"/>
        </w:rPr>
        <w:t xml:space="preserve"> （三）未经甲方允许，乙方不得部分或全部转让其应履行的合同义务，不得在合同未生效前履行合同相关义务。</w:t>
      </w:r>
    </w:p>
    <w:p w14:paraId="72E33CA7">
      <w:pPr>
        <w:spacing w:line="360" w:lineRule="auto"/>
        <w:ind w:firstLine="480" w:firstLineChars="200"/>
        <w:rPr>
          <w:rFonts w:hint="eastAsia" w:ascii="仿宋_GB2312" w:eastAsia="仿宋_GB2312"/>
          <w:bCs/>
          <w:sz w:val="24"/>
          <w:szCs w:val="24"/>
          <w:highlight w:val="none"/>
        </w:rPr>
      </w:pPr>
      <w:r>
        <w:rPr>
          <w:rFonts w:hint="eastAsia" w:ascii="仿宋_GB2312" w:eastAsia="仿宋_GB2312"/>
          <w:bCs/>
          <w:sz w:val="24"/>
          <w:szCs w:val="24"/>
          <w:highlight w:val="none"/>
        </w:rPr>
        <w:t>注释：本合同样本中的条款仅作为双方签订合同的参考，为阐明各方的权利和义务，经协商可增加新的条款。但不得与磋商文件、成交供应商磋商响应文件的实质性内容相背离。</w:t>
      </w:r>
    </w:p>
    <w:p w14:paraId="65D23D21">
      <w:pPr>
        <w:spacing w:line="360" w:lineRule="auto"/>
        <w:rPr>
          <w:rFonts w:hint="eastAsia" w:ascii="仿宋_GB2312" w:eastAsia="仿宋_GB2312"/>
          <w:b/>
          <w:color w:val="000000"/>
          <w:sz w:val="24"/>
          <w:szCs w:val="24"/>
          <w:highlight w:val="none"/>
        </w:rPr>
      </w:pPr>
    </w:p>
    <w:p w14:paraId="0513CED9">
      <w:pPr>
        <w:pStyle w:val="3"/>
        <w:spacing w:line="360" w:lineRule="auto"/>
        <w:ind w:firstLine="240"/>
        <w:rPr>
          <w:rFonts w:hint="eastAsia" w:ascii="仿宋_GB2312" w:eastAsia="仿宋_GB2312"/>
          <w:sz w:val="24"/>
          <w:szCs w:val="24"/>
          <w:highlight w:val="none"/>
        </w:rPr>
      </w:pPr>
    </w:p>
    <w:p w14:paraId="03ABF3B4">
      <w:pPr>
        <w:tabs>
          <w:tab w:val="left" w:pos="480"/>
        </w:tabs>
        <w:spacing w:line="360" w:lineRule="auto"/>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甲  方（法人公章）                         乙  方（法人公章）</w:t>
      </w:r>
    </w:p>
    <w:p w14:paraId="112A956D">
      <w:pPr>
        <w:tabs>
          <w:tab w:val="left" w:pos="480"/>
        </w:tabs>
        <w:spacing w:line="360" w:lineRule="auto"/>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 xml:space="preserve">单位名称：                  </w:t>
      </w:r>
      <w:r>
        <w:rPr>
          <w:rFonts w:hint="eastAsia" w:ascii="仿宋_GB2312" w:hAnsi="宋体" w:eastAsia="仿宋_GB2312" w:cs="宋体"/>
          <w:sz w:val="24"/>
          <w:szCs w:val="24"/>
          <w:highlight w:val="none"/>
          <w:lang w:val="en-US" w:eastAsia="zh-CN"/>
        </w:rPr>
        <w:t xml:space="preserve">               </w:t>
      </w:r>
      <w:r>
        <w:rPr>
          <w:rFonts w:hint="eastAsia" w:ascii="仿宋_GB2312" w:hAnsi="宋体" w:eastAsia="仿宋_GB2312" w:cs="宋体"/>
          <w:sz w:val="24"/>
          <w:szCs w:val="24"/>
          <w:highlight w:val="none"/>
        </w:rPr>
        <w:t>单位名称:xxxx</w:t>
      </w:r>
    </w:p>
    <w:p w14:paraId="6D644753">
      <w:pPr>
        <w:tabs>
          <w:tab w:val="left" w:pos="480"/>
        </w:tabs>
        <w:spacing w:line="360" w:lineRule="auto"/>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 xml:space="preserve">地  址：           </w:t>
      </w:r>
      <w:r>
        <w:rPr>
          <w:rFonts w:hint="eastAsia" w:ascii="仿宋_GB2312" w:hAnsi="宋体" w:eastAsia="仿宋_GB2312" w:cs="宋体"/>
          <w:sz w:val="24"/>
          <w:szCs w:val="24"/>
          <w:highlight w:val="none"/>
          <w:lang w:val="en-US" w:eastAsia="zh-CN"/>
        </w:rPr>
        <w:t xml:space="preserve">                        </w:t>
      </w:r>
      <w:r>
        <w:rPr>
          <w:rFonts w:hint="eastAsia" w:ascii="仿宋_GB2312" w:hAnsi="宋体" w:eastAsia="仿宋_GB2312" w:cs="宋体"/>
          <w:sz w:val="24"/>
          <w:szCs w:val="24"/>
          <w:highlight w:val="none"/>
        </w:rPr>
        <w:t>地  址：xxxx</w:t>
      </w:r>
    </w:p>
    <w:p w14:paraId="77EE93C2">
      <w:pPr>
        <w:tabs>
          <w:tab w:val="left" w:pos="480"/>
        </w:tabs>
        <w:spacing w:line="360" w:lineRule="auto"/>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 xml:space="preserve">法定代表人：（签字）                       法定代表人：（签字） </w:t>
      </w:r>
    </w:p>
    <w:p w14:paraId="628A4118">
      <w:pPr>
        <w:tabs>
          <w:tab w:val="left" w:pos="480"/>
        </w:tabs>
        <w:spacing w:line="360" w:lineRule="auto"/>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代理人：（签字）                           代理人：（签字）</w:t>
      </w:r>
    </w:p>
    <w:p w14:paraId="1B7A0CA7">
      <w:pPr>
        <w:tabs>
          <w:tab w:val="left" w:pos="480"/>
        </w:tabs>
        <w:spacing w:line="360" w:lineRule="auto"/>
        <w:ind w:firstLine="5280" w:firstLineChars="2200"/>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 xml:space="preserve">           </w:t>
      </w:r>
    </w:p>
    <w:p w14:paraId="5CBF4D74">
      <w:pPr>
        <w:tabs>
          <w:tab w:val="left" w:pos="480"/>
        </w:tabs>
        <w:spacing w:line="360" w:lineRule="auto"/>
        <w:rPr>
          <w:rFonts w:hint="eastAsia" w:ascii="仿宋_GB2312" w:hAnsi="宋体" w:eastAsia="仿宋_GB2312" w:cs="宋体"/>
          <w:sz w:val="24"/>
          <w:szCs w:val="24"/>
          <w:highlight w:val="none"/>
        </w:rPr>
      </w:pPr>
      <w:r>
        <w:rPr>
          <w:rFonts w:hint="eastAsia" w:ascii="仿宋_GB2312" w:hAnsi="宋体" w:eastAsia="仿宋_GB2312" w:cs="宋体"/>
          <w:sz w:val="24"/>
          <w:szCs w:val="24"/>
          <w:highlight w:val="none"/>
        </w:rPr>
        <w:t>签订日期：202</w:t>
      </w:r>
      <w:r>
        <w:rPr>
          <w:rFonts w:hint="eastAsia" w:ascii="仿宋_GB2312" w:hAnsi="宋体" w:eastAsia="仿宋_GB2312" w:cs="宋体"/>
          <w:sz w:val="24"/>
          <w:szCs w:val="24"/>
          <w:highlight w:val="none"/>
          <w:lang w:val="en-US" w:eastAsia="zh-CN"/>
        </w:rPr>
        <w:t>6</w:t>
      </w:r>
      <w:r>
        <w:rPr>
          <w:rFonts w:hint="eastAsia" w:ascii="仿宋_GB2312" w:hAnsi="宋体" w:eastAsia="仿宋_GB2312" w:cs="宋体"/>
          <w:sz w:val="24"/>
          <w:szCs w:val="24"/>
          <w:highlight w:val="none"/>
        </w:rPr>
        <w:t>年  月  日                   签订日期：202</w:t>
      </w:r>
      <w:r>
        <w:rPr>
          <w:rFonts w:hint="eastAsia" w:ascii="仿宋_GB2312" w:hAnsi="宋体" w:eastAsia="仿宋_GB2312" w:cs="宋体"/>
          <w:sz w:val="24"/>
          <w:szCs w:val="24"/>
          <w:highlight w:val="none"/>
          <w:lang w:val="en-US" w:eastAsia="zh-CN"/>
        </w:rPr>
        <w:t>6</w:t>
      </w:r>
      <w:r>
        <w:rPr>
          <w:rFonts w:hint="eastAsia" w:ascii="仿宋_GB2312" w:hAnsi="宋体" w:eastAsia="仿宋_GB2312" w:cs="宋体"/>
          <w:sz w:val="24"/>
          <w:szCs w:val="24"/>
          <w:highlight w:val="none"/>
        </w:rPr>
        <w:t>年  月  日</w:t>
      </w:r>
    </w:p>
    <w:p w14:paraId="58DFAC4F">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E2039F"/>
    <w:rsid w:val="79E203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pPr>
    <w:rPr>
      <w:rFonts w:ascii="Times New Roman"/>
      <w:kern w:val="2"/>
    </w:rPr>
  </w:style>
  <w:style w:type="paragraph" w:styleId="3">
    <w:name w:val="Body Text First Indent"/>
    <w:basedOn w:val="2"/>
    <w:qFormat/>
    <w:uiPriority w:val="0"/>
    <w:pPr>
      <w:spacing w:after="120" w:line="240" w:lineRule="auto"/>
      <w:ind w:firstLine="100" w:firstLineChars="100"/>
    </w:p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2026-08-24T02:07:00Z</dcterms:created>
  <dc:creator>招标四部</dc:creator>
  <cp:lastModifiedBy>招标四部</cp:lastModifiedBy>
  <dcterms:modified xsi:type="dcterms:W3CDTF">2026-08-24T02:07:48Z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D64B056D31564E329FA5FB3A9A3B4584_11</vt:lpwstr>
  </property>
  <property fmtid="{D5CDD505-2E9C-101B-9397-08002B2CF9AE}" pid="4" name="KSOTemplateDocerSaveRecord">
    <vt:lpwstr>eyJoZGlkIjoiMWRmYmRjMDgxNTA5NmRmMzllMzUxMTYyNmRmNzI4MDkiLCJ1c2VySWQiOiIyNDEwNjE3OTEifQ==</vt:lpwstr>
  </property>
</Properties>
</file>