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版本号：TZZB-Z-2026160C20260716001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西安市市级教学能手、研修共同体主持人能力提升培训项目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TZZB-Z-2026160C</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西安市市级教学能手、研修共同体主持人能力提升培训项目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TZZB-Z-2026160C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西安市市级教学能手、研修共同体主持人能力提升培训项目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西安市市级教学能手、研修共同体主持人能力提升培训项目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采购包1（西安市市级教学能手、研修共同体主持人能力提升培训项目）：属于专门面向中小企业采购。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计取。 代理服务费缴纳账号：同正项目管理有限公司 开户银行：中国建设银行股份有限公司西安长庆支行 账号：61050190550000001106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及服务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西安市市级教学能手、研修共同体主持人能力提升培训项目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1,420,000.00</w:t>
      </w:r>
    </w:p>
    <w:p>
      <w:pPr>
        <w:pStyle w:val="null3"/>
      </w:pPr>
      <w:r>
        <w:rPr>
          <w:rFonts w:ascii="仿宋_GB2312" w:hAnsi="仿宋_GB2312" w:cs="仿宋_GB2312" w:eastAsia="仿宋_GB2312"/>
        </w:rPr>
        <w:t>采购包最高限价（元）: 1,420,000.00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西安市市级教学能手、研修共同体主持人能力提升培训项目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标的名称：西安市市级教学能手、研修共同体主持人能力提升培训项目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项目实施背景和依据</w:t>
            </w:r>
          </w:p>
          <w:p>
            <w:pPr>
              <w:pStyle w:val="null3"/>
              <w:jc w:val="both"/>
            </w:pPr>
            <w:r>
              <w:rPr>
                <w:rFonts w:ascii="仿宋_GB2312" w:hAnsi="仿宋_GB2312" w:cs="仿宋_GB2312" w:eastAsia="仿宋_GB2312"/>
                <w:sz w:val="20"/>
              </w:rPr>
              <w:t>为深入贯彻《中共中央</w:t>
            </w:r>
            <w:r>
              <w:rPr>
                <w:rFonts w:ascii="仿宋_GB2312" w:hAnsi="仿宋_GB2312" w:cs="仿宋_GB2312" w:eastAsia="仿宋_GB2312"/>
                <w:sz w:val="20"/>
              </w:rPr>
              <w:t>国务院关于全面深化新时代教师队伍建设改革的意见》（中发〔</w:t>
            </w:r>
            <w:r>
              <w:rPr>
                <w:rFonts w:ascii="仿宋_GB2312" w:hAnsi="仿宋_GB2312" w:cs="仿宋_GB2312" w:eastAsia="仿宋_GB2312"/>
                <w:sz w:val="20"/>
              </w:rPr>
              <w:t>2018〕4 号）、教育部等八部门《新时代基础教育强师计划》（教师〔2022〕6 号）以及陕西省、西安市关于加强新时代基础教育教师队伍骨干体系建设的系列文件精神，落实 “师德为先、骨干引领、全员提升” 的强师战略，西安市持续推进中小学 “三级三类” 骨干教师培养与 “名师 +” 研修共同体建设，着力打造一支师德高尚、业务精湛、结构合理、富有活力的高素质专业化教师队伍。</w:t>
            </w:r>
          </w:p>
          <w:p>
            <w:pPr>
              <w:pStyle w:val="null3"/>
              <w:jc w:val="both"/>
            </w:pPr>
            <w:r>
              <w:rPr>
                <w:rFonts w:ascii="仿宋_GB2312" w:hAnsi="仿宋_GB2312" w:cs="仿宋_GB2312" w:eastAsia="仿宋_GB2312"/>
                <w:sz w:val="20"/>
              </w:rPr>
              <w:t>为进一步夯实西安市基础教育骨干体系，强化教学能手的示范带动作用，提升研修共同体主持人的专业引领与组织管理能力，推动</w:t>
            </w:r>
            <w:r>
              <w:rPr>
                <w:rFonts w:ascii="仿宋_GB2312" w:hAnsi="仿宋_GB2312" w:cs="仿宋_GB2312" w:eastAsia="仿宋_GB2312"/>
                <w:sz w:val="20"/>
              </w:rPr>
              <w:t>“名师 +” 研修共同体从 “建起来” 向 “实起来、强起来” 转变，充分发挥骨干名师在教师队伍建设和教育质量提升中的 “头雁效应”，西安市决定组织实施市级教学能手、研修共同体主持人能力提升培训项目。通过系统培训，助力参训教师更新教育理念、创新教学模式、提升研修组织与科研能力，为西安建设教育强市、办好人民满意的教育提供坚强的师资支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二、项目需求</w:t>
            </w:r>
          </w:p>
          <w:p>
            <w:pPr>
              <w:pStyle w:val="null3"/>
              <w:jc w:val="both"/>
            </w:pPr>
            <w:r>
              <w:rPr>
                <w:rFonts w:ascii="仿宋_GB2312" w:hAnsi="仿宋_GB2312" w:cs="仿宋_GB2312" w:eastAsia="仿宋_GB2312"/>
                <w:sz w:val="20"/>
              </w:rPr>
              <w:t>1.培训对象：西安市市级教学能手、研修共同体主持人</w:t>
            </w:r>
          </w:p>
          <w:p>
            <w:pPr>
              <w:pStyle w:val="null3"/>
              <w:jc w:val="both"/>
            </w:pPr>
            <w:r>
              <w:rPr>
                <w:rFonts w:ascii="仿宋_GB2312" w:hAnsi="仿宋_GB2312" w:cs="仿宋_GB2312" w:eastAsia="仿宋_GB2312"/>
                <w:sz w:val="20"/>
              </w:rPr>
              <w:t>2.培训人数：1100人</w:t>
            </w:r>
          </w:p>
          <w:p>
            <w:pPr>
              <w:pStyle w:val="null3"/>
              <w:jc w:val="both"/>
            </w:pPr>
            <w:r>
              <w:rPr>
                <w:rFonts w:ascii="仿宋_GB2312" w:hAnsi="仿宋_GB2312" w:cs="仿宋_GB2312" w:eastAsia="仿宋_GB2312"/>
                <w:sz w:val="20"/>
              </w:rPr>
              <w:t>3.培训周期：3天集中（分批开展）</w:t>
            </w:r>
          </w:p>
          <w:p>
            <w:pPr>
              <w:pStyle w:val="null3"/>
              <w:jc w:val="both"/>
            </w:pPr>
            <w:r>
              <w:rPr>
                <w:rFonts w:ascii="仿宋_GB2312" w:hAnsi="仿宋_GB2312" w:cs="仿宋_GB2312" w:eastAsia="仿宋_GB2312"/>
                <w:sz w:val="20"/>
              </w:rPr>
              <w:t>4.培训内容：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市级教学能手：涵盖新时代师德师风与教育政策解读；深入解读学科新课标，学习大单元教学、情境教学等创新模式，开展精品课例打磨、课堂设计与教学评价实操；指导作业优化、教学反思及教研论文、教学案例撰写；讲解数字化教学工具、智能课堂应用技能；同时传授示范课展示、评课议课、青年教师帮扶等方法，全面强化教学能手专业水平与引领能力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2）研修共同体主持人：聚焦 “名师 +” 研修共同体主持人核心能力，包括：新时代教育政策与主持人角色定位；共同体组建、制度建设、年度规划与运营管理；教研活动设计、课例研修、送教帮扶与线上混合教研组织；教研课题、教学案例与论文写作及成果提炼；骨干教师引领、青年教师培养与区域辐射策略；教育数字化、智能教研工具应用与数据驱动教研能力提升等内容。</w:t>
            </w:r>
          </w:p>
          <w:p>
            <w:pPr>
              <w:pStyle w:val="null3"/>
              <w:jc w:val="both"/>
            </w:pPr>
            <w:r>
              <w:rPr>
                <w:rFonts w:ascii="仿宋_GB2312" w:hAnsi="仿宋_GB2312" w:cs="仿宋_GB2312" w:eastAsia="仿宋_GB2312"/>
                <w:sz w:val="20"/>
              </w:rPr>
              <w:t>5.培训方式：本次培训以理论与实践深度融合为核心，采用典型教学案例深度剖析引导市级教学能手、研修共同体主持人借鉴创新，并依托任务驱动的参与式培训强化学科技能转化。通过精准需求分析、分层指导与学科专家匹配，确保资源精准投放与个体能力有效提升。贯穿成果导向，要求学员产出学段学科适配的可展示、可推广成果，最终实现专业素养与教学能力的显著进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本项目采购标的所属行业为其他未列明行业。 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自合同签订之日起至本次所有服务工作完成。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和成交供应商共同对项目进行整体验收。其内容包括是否按照采购人要求进行服务、是否在规定时间内服务完毕、服务工作是否存在失误。验收合格后，填写验收单作为对本服务的最终认可。供应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进度款，服务期结束且经采购人验收合格后，达到付款条件起7个工作日内，支付合同总金额的100.0%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存档，响应文件正本1份，副本2份（文件内容、格式及信息须与系统上传电子文件保持一致）。纸质响应文件均须A4纸打印，分别各自装订成册并编制目录和页码。线下递交响应文件地点：西安市雁塔区科技二路71号竹园·天寰国际1107室 。 2.本项目通过陕西省政府采购综合管理平台进行电子化交易，竞争性磋商文件由采购人及代理机构在平台填报相关内容后由平台系统自动生成。鉴于平台系统模板为通用制式，文件中出现“招标文件”“投标文件”“投标人”等术语，此类术语均为平台系统固化表述，在本项目（采购方式为竞争性磋商）中均应理解为“磋商文件”“响应文件”“供应商”等相应含义。供应商对本项目采购方式及采购文件术语的理解，应以本项目磋商文件第一章明确的采购方式（竞争性磋商）及本说明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 3.提供自2025年7月1日以来已缴存的任意1个月的社会保障资金缴存单据或社保机构开具的社会保险参保缴费情况证明；依法不需要缴纳社会保障资金的供应商应提供相关证明文件。 4.提供自2025年7月1日以来已缴纳的任意1个月的依法缴纳税收的相关凭据(时间以税款所属日期为准)，凭据应有税务机关或代收机关的公章或业务专用章；依法免税或无须缴纳税收的供应商，应提供相应证明文件。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1.资格证明材料.docx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1.资格证明材料.docx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1.资格证明材料.docx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每轮报价只能有一个有效报价，不得提交选择性报价，且报价不超过采购预算金额或最高限价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 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5.培训方案.docx 6.保障措施.docx 11.业绩一览表.docx 2.服务内容及服务要求应答表.docx 13.陕西省政府采购供应商拒绝政府采购领域商业贿赂承诺书.docx 中小企业声明函 10.应急预案.docx 7.人员配备方案.docx 4.项目需求分析.docx 响应文件封面 9.质量售后与投诉处理方案.docx 12.其他材料及供应商认为有必要说明、阐述的事项.docx 残疾人福利性单位声明函 标的清单 1.资格证明材料.docx 响应函 3.商务要求应答表.docx 监狱企业的证明文件 8.场地及设备配置情况.docx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3.商务要求应答表.docx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5.培训方案.docx 6.保障措施.docx 11.业绩一览表.docx 2.服务内容及服务要求应答表.docx 13.陕西省政府采购供应商拒绝政府采购领域商业贿赂承诺书.docx 中小企业声明函 报价表 10.应急预案.docx 7.人员配备方案.docx 4.项目需求分析.docx 9.质量售后与投诉处理方案.docx 12.其他材料及供应商认为有必要说明、阐述的事项.docx 响应文件封面 残疾人福利性单位声明函 标的清单 1.资格证明材料.docx 响应函 3.商务要求应答表.docx 监狱企业的证明文件 8.场地及设备配置情况.docx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提供对本项目的项目需求分析，其中包括：①服务目标及内容；②培训对象特点分析；③服务重点及应对方案；④服务难点及应对方案。 以上4项内容齐全得12分，每缺一项扣3分，扣完为止。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4.项目需求分析.docx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针对本项目采购内容，提供培训方案，其中包括：①培训计划；②培训方法；③培训内容；④考勤及考核制度。 二、评审标准 1、完整性：内容全面，对评审内容中的各项要求有详细描述； 2、可实施性：切合本项目实际情况，实施步骤清晰合理； 3、针对性：内容科学合理，能够紧扣项目实际情况。 三、赋分标准（满分22.5分） ①培训内容：每满足一个评审标准得2分，对该评审标准的响应内容模糊或存在缺陷得1分，未提供或完全无法满足该评审标准得0分。（满分6分） ②培训方法：每满足一个评审标准得2分，对该评审标准的响应内容模糊或存在缺陷得1分，未提供或完全无法满足该评审标准得0分。（满分6分） ③培训计划：每满足一个评审标准得2分，对该评审标准的响应内容模糊或存在缺陷得1分，未提供或完全无法满足该评审标准得0分。（满分6分） ④考勤及考核制度：每满足一个评审标准得1.5分，对该评审标准的响应内容模糊或存在缺陷得1分，未提供或完全无法满足该评审标准得0分。（满分4.5分）</w:t>
            </w:r>
          </w:p>
        </w:tc>
        <w:tc>
          <w:tcPr>
            <w:tcW w:type="dxa" w:w="831"/>
          </w:tcPr>
          <w:p>
            <w:pPr>
              <w:pStyle w:val="null3"/>
              <w:jc w:val="right"/>
            </w:pPr>
            <w:r>
              <w:rPr>
                <w:rFonts w:ascii="仿宋_GB2312" w:hAnsi="仿宋_GB2312" w:cs="仿宋_GB2312" w:eastAsia="仿宋_GB2312"/>
              </w:rPr>
              <w:t>22.5000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针对本项目采购内容，提供保障措施，其中包括：培训质量保障措施（①师资管控；②教学管理；③教辅物料；④成果验收；⑤培训效果复盘）与培训安全保障措施（①医疗保障；②治安维护；③消防排查；④饮食安全；⑤场地安全）。 以上10项内容齐全得10分，每缺一项扣1分，扣完为止。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6.保障措施.docx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针对本项目采购内容，提供人员配备方案，其中包括：①拟派项目人员组成及岗位职责（含拟参与本项目的设计或授课培训或管理教师名单）；②人员学历、专业及工作经验；③团队人员管理方案。 二、评审标准 1、完整性：内容全面，对评审内容中的各项要求有详细描述； 2、可实施性：切合本项目实际情况，实施步骤清晰合理； 3、针对性：内容科学合理，能够紧扣项目实际情况。 三、赋分标准（满分13.5分） ①拟派项目人员组成及岗位职责（含拟参与本项目的设计或授课培训或管理教师名单）：每满足一个评审标准得1.5分，对该评审标准的响应内容模糊或存在缺陷得1分，未提供或完全无法满足该评审标准得0分。（满分4.5分） ②人员学历、专业及工作经验：每满足一个评审标准得1.5分，对该评审标准的响应内容模糊或存在缺陷得1分，未提供或完全无法满足该评审标准得0分。（满分4.5分） ③团队人员管理方案：每满足一个评审标准得1.5分，对该评审标准的响应内容模糊或存在缺陷得1分，未提供或完全无法满足该评审标准得0分。（满分4.5分）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7.人员配备方案.docx</w:t>
            </w:r>
          </w:p>
        </w:tc>
      </w:tr>
      <w:tr>
        <w:tc>
          <w:tcPr>
            <w:tcW w:type="dxa" w:w="831"/>
            <w:vMerge/>
          </w:tcPr>
          <w:p/>
        </w:tc>
        <w:tc>
          <w:tcPr>
            <w:tcW w:type="dxa" w:w="1661"/>
          </w:tcPr>
          <w:p>
            <w:pPr>
              <w:pStyle w:val="null3"/>
            </w:pPr>
            <w:r>
              <w:rPr>
                <w:rFonts w:ascii="仿宋_GB2312" w:hAnsi="仿宋_GB2312" w:cs="仿宋_GB2312" w:eastAsia="仿宋_GB2312"/>
              </w:rPr>
              <w:t>场地及设备配置情况</w:t>
            </w:r>
          </w:p>
        </w:tc>
        <w:tc>
          <w:tcPr>
            <w:tcW w:type="dxa" w:w="2492"/>
          </w:tcPr>
          <w:p>
            <w:pPr>
              <w:pStyle w:val="null3"/>
            </w:pPr>
            <w:r>
              <w:rPr>
                <w:rFonts w:ascii="仿宋_GB2312" w:hAnsi="仿宋_GB2312" w:cs="仿宋_GB2312" w:eastAsia="仿宋_GB2312"/>
              </w:rPr>
              <w:t>供应商应提供相关场地及设备的证明资料，其中包括：①场地环境实地照片；②设备实景照片；③场地使用协议/承诺函。 1.供应商提供拟投入本次培训项目的培训场地、培训工作的设备配置，有独立的培训场地、设备配置详细完整、专业规范，完全满足本项目所需培训要求，得3分； 2.有独立的培训场地、设备配置基本完整规范，基本满足培训所需服务要求，得2分； 3.没有独立的培训场地、设备配置完整规范性一般，得1分。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8.场地及设备配置情况.docx</w:t>
            </w:r>
          </w:p>
        </w:tc>
      </w:tr>
      <w:tr>
        <w:tc>
          <w:tcPr>
            <w:tcW w:type="dxa" w:w="831"/>
            <w:vMerge/>
          </w:tcPr>
          <w:p/>
        </w:tc>
        <w:tc>
          <w:tcPr>
            <w:tcW w:type="dxa" w:w="1661"/>
          </w:tcPr>
          <w:p>
            <w:pPr>
              <w:pStyle w:val="null3"/>
            </w:pPr>
            <w:r>
              <w:rPr>
                <w:rFonts w:ascii="仿宋_GB2312" w:hAnsi="仿宋_GB2312" w:cs="仿宋_GB2312" w:eastAsia="仿宋_GB2312"/>
              </w:rPr>
              <w:t>质量售后与投诉处理方案</w:t>
            </w:r>
          </w:p>
        </w:tc>
        <w:tc>
          <w:tcPr>
            <w:tcW w:type="dxa" w:w="2492"/>
          </w:tcPr>
          <w:p>
            <w:pPr>
              <w:pStyle w:val="null3"/>
            </w:pPr>
            <w:r>
              <w:rPr>
                <w:rFonts w:ascii="仿宋_GB2312" w:hAnsi="仿宋_GB2312" w:cs="仿宋_GB2312" w:eastAsia="仿宋_GB2312"/>
              </w:rPr>
              <w:t>针对本项目采购内容，提供质量售后与投诉处理方案，其中包括：①专属项目对接服务机制、②问题响应时效；③全流程质量管控与整改机制；④投诉受理、处置。 以上4项内容齐全得12分，每缺一项扣3分，扣完为止。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9.质量售后与投诉处理方案.docx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针对本项目采购内容，提供应急预案，其中包括：①人员受伤；②突发疾病；③停电断网；④教学设备故障；⑤现场秩序混乱；⑥师资人员缺失。 以上6项内容齐全得9分。每缺少一项扣1.5分，扣完为止。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供应商2023年7月1日至今承担过类似项目业绩，每提供1份类似项目业绩得2分，最高得8分。弄虚作假者，取消其成交资格。（以加盖供应商公章的合同扫描件为准，日期以合同签订日期为准）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详见附件：1.资格证明材料.docx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详见附件：3.商务要求应答表.docx</w:t>
      </w:r>
    </w:p>
    <w:p>
      <w:pPr>
        <w:pStyle w:val="null3"/>
        <w:ind w:firstLine="960"/>
      </w:pPr>
      <w:r>
        <w:rPr>
          <w:rFonts w:ascii="仿宋_GB2312" w:hAnsi="仿宋_GB2312" w:cs="仿宋_GB2312" w:eastAsia="仿宋_GB2312"/>
        </w:rPr>
        <w:t>详见附件：4.项目需求分析.docx</w:t>
      </w:r>
    </w:p>
    <w:p>
      <w:pPr>
        <w:pStyle w:val="null3"/>
        <w:ind w:firstLine="960"/>
      </w:pPr>
      <w:r>
        <w:rPr>
          <w:rFonts w:ascii="仿宋_GB2312" w:hAnsi="仿宋_GB2312" w:cs="仿宋_GB2312" w:eastAsia="仿宋_GB2312"/>
        </w:rPr>
        <w:t>详见附件：5.培训方案.docx</w:t>
      </w:r>
    </w:p>
    <w:p>
      <w:pPr>
        <w:pStyle w:val="null3"/>
        <w:ind w:firstLine="960"/>
      </w:pPr>
      <w:r>
        <w:rPr>
          <w:rFonts w:ascii="仿宋_GB2312" w:hAnsi="仿宋_GB2312" w:cs="仿宋_GB2312" w:eastAsia="仿宋_GB2312"/>
        </w:rPr>
        <w:t>详见附件：6.保障措施.docx</w:t>
      </w:r>
    </w:p>
    <w:p>
      <w:pPr>
        <w:pStyle w:val="null3"/>
        <w:ind w:firstLine="960"/>
      </w:pPr>
      <w:r>
        <w:rPr>
          <w:rFonts w:ascii="仿宋_GB2312" w:hAnsi="仿宋_GB2312" w:cs="仿宋_GB2312" w:eastAsia="仿宋_GB2312"/>
        </w:rPr>
        <w:t>详见附件：7.人员配备方案.docx</w:t>
      </w:r>
    </w:p>
    <w:p>
      <w:pPr>
        <w:pStyle w:val="null3"/>
        <w:ind w:firstLine="960"/>
      </w:pPr>
      <w:r>
        <w:rPr>
          <w:rFonts w:ascii="仿宋_GB2312" w:hAnsi="仿宋_GB2312" w:cs="仿宋_GB2312" w:eastAsia="仿宋_GB2312"/>
        </w:rPr>
        <w:t>详见附件：8.场地及设备配置情况.docx</w:t>
      </w:r>
    </w:p>
    <w:p>
      <w:pPr>
        <w:pStyle w:val="null3"/>
        <w:ind w:firstLine="960"/>
      </w:pPr>
      <w:r>
        <w:rPr>
          <w:rFonts w:ascii="仿宋_GB2312" w:hAnsi="仿宋_GB2312" w:cs="仿宋_GB2312" w:eastAsia="仿宋_GB2312"/>
        </w:rPr>
        <w:t>详见附件：9.质量售后与投诉处理方案.docx</w:t>
      </w:r>
    </w:p>
    <w:p>
      <w:pPr>
        <w:pStyle w:val="null3"/>
        <w:ind w:firstLine="960"/>
      </w:pPr>
      <w:r>
        <w:rPr>
          <w:rFonts w:ascii="仿宋_GB2312" w:hAnsi="仿宋_GB2312" w:cs="仿宋_GB2312" w:eastAsia="仿宋_GB2312"/>
        </w:rPr>
        <w:t>详见附件：10.应急预案.docx</w:t>
      </w:r>
    </w:p>
    <w:p>
      <w:pPr>
        <w:pStyle w:val="null3"/>
        <w:ind w:firstLine="960"/>
      </w:pPr>
      <w:r>
        <w:rPr>
          <w:rFonts w:ascii="仿宋_GB2312" w:hAnsi="仿宋_GB2312" w:cs="仿宋_GB2312" w:eastAsia="仿宋_GB2312"/>
        </w:rPr>
        <w:t>详见附件：11.业绩一览表.docx</w:t>
      </w:r>
    </w:p>
    <w:p>
      <w:pPr>
        <w:pStyle w:val="null3"/>
        <w:ind w:firstLine="960"/>
      </w:pPr>
      <w:r>
        <w:rPr>
          <w:rFonts w:ascii="仿宋_GB2312" w:hAnsi="仿宋_GB2312" w:cs="仿宋_GB2312" w:eastAsia="仿宋_GB2312"/>
        </w:rPr>
        <w:t>详见附件：12.其他材料及供应商认为有必要说明、阐述的事项.docx</w:t>
      </w:r>
    </w:p>
    <w:p>
      <w:pPr>
        <w:pStyle w:val="null3"/>
        <w:ind w:firstLine="960"/>
      </w:pPr>
      <w:r>
        <w:rPr>
          <w:rFonts w:ascii="仿宋_GB2312" w:hAnsi="仿宋_GB2312" w:cs="仿宋_GB2312" w:eastAsia="仿宋_GB2312"/>
        </w:rPr>
        <w:t>详见附件：13.陕西省政府采购供应商拒绝政府采购领域商业贿赂承诺书.docx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