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版本号：SZ1262-GP-SC-047H20260421001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陕西特色药用植物开发配套仪器设备购置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SZ1262-GP-SC-047H</w:t>
      </w:r>
      <w:r>
        <w:br/>
      </w:r>
      <w:r>
        <w:br/>
      </w:r>
      <w:r>
        <w:br/>
      </w:r>
    </w:p>
    <w:p>
      <w:pPr>
        <w:pStyle w:val="null3"/>
        <w:jc w:val="center"/>
        <w:outlineLvl w:val="2"/>
      </w:pPr>
      <w:r>
        <w:rPr>
          <w:rFonts w:ascii="仿宋_GB2312" w:hAnsi="仿宋_GB2312" w:cs="仿宋_GB2312" w:eastAsia="仿宋_GB2312"/>
          <w:sz w:val="28"/>
          <w:b/>
        </w:rPr>
        <w:t>陕西中药研究所（陕西医药信息中心）</w:t>
      </w:r>
    </w:p>
    <w:p>
      <w:pPr>
        <w:pStyle w:val="null3"/>
        <w:jc w:val="center"/>
        <w:outlineLvl w:val="2"/>
      </w:pPr>
      <w:r>
        <w:rPr>
          <w:rFonts w:ascii="仿宋_GB2312" w:hAnsi="仿宋_GB2312" w:cs="仿宋_GB2312" w:eastAsia="仿宋_GB2312"/>
          <w:sz w:val="28"/>
          <w:b/>
        </w:rPr>
        <w:t>陕西省招标有限责任公司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陕西省招标有限责任公司</w:t>
      </w:r>
      <w:r>
        <w:rPr>
          <w:rFonts w:ascii="仿宋_GB2312" w:hAnsi="仿宋_GB2312" w:cs="仿宋_GB2312" w:eastAsia="仿宋_GB2312"/>
        </w:rPr>
        <w:t>（以下简称“代理机构”）受</w:t>
      </w:r>
      <w:r>
        <w:rPr>
          <w:rFonts w:ascii="仿宋_GB2312" w:hAnsi="仿宋_GB2312" w:cs="仿宋_GB2312" w:eastAsia="仿宋_GB2312"/>
        </w:rPr>
        <w:t>陕西中药研究所（陕西医药信息中心）</w:t>
      </w:r>
      <w:r>
        <w:rPr>
          <w:rFonts w:ascii="仿宋_GB2312" w:hAnsi="仿宋_GB2312" w:cs="仿宋_GB2312" w:eastAsia="仿宋_GB2312"/>
        </w:rPr>
        <w:t>委托，拟对</w:t>
      </w:r>
      <w:r>
        <w:rPr>
          <w:rFonts w:ascii="仿宋_GB2312" w:hAnsi="仿宋_GB2312" w:cs="仿宋_GB2312" w:eastAsia="仿宋_GB2312"/>
        </w:rPr>
        <w:t>陕西特色药用植物开发配套仪器设备购置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SZ1262-GP-SC-047H</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陕西特色药用植物开发配套仪器设备购置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陕西特色药用植物开发配套仪器设备购置，包含高效湿法制粒机、光释光辐照残留检测仪、二极管阵列检测器、实验室变频破碎均质机、5kg槽型混合机。</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能力的法人、其他组织或自然人，提供合法有效的统一社会信用代码营业执照（事业单位提供事业单位法人证书，其他组织经营的合法凭证，自然人提供身份证明）</w:t>
      </w:r>
    </w:p>
    <w:p>
      <w:pPr>
        <w:pStyle w:val="null3"/>
      </w:pPr>
      <w:r>
        <w:rPr>
          <w:rFonts w:ascii="仿宋_GB2312" w:hAnsi="仿宋_GB2312" w:cs="仿宋_GB2312" w:eastAsia="仿宋_GB2312"/>
        </w:rPr>
        <w:t>2、财务状况报告：提供2024年度经审计的财务报告，须有专属验证码（二维码）（财务报告中至少包括资产负债表、利润表，成立时间至提交投标文件截止时间不足一年的可提供成立后任意时段的资产负债表），或其开标前三个月内基本开户银行出具的资信证明</w:t>
      </w:r>
    </w:p>
    <w:p>
      <w:pPr>
        <w:pStyle w:val="null3"/>
      </w:pPr>
      <w:r>
        <w:rPr>
          <w:rFonts w:ascii="仿宋_GB2312" w:hAnsi="仿宋_GB2312" w:cs="仿宋_GB2312" w:eastAsia="仿宋_GB2312"/>
        </w:rPr>
        <w:t>3、社保缴纳证明：提供自2025年2月1日以来已缴存的至少一个月的社会保障资金缴存单据（缴费种类至少包括养老保险）或社保机构开具的社会保险参保缴费情况证明或提供其它相关证明资料，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4、税收缴纳证明：提供自2025年2月1日以来已缴纳的至少一个月的缴税凭证（税种为增值税或企业所得税），凭证应有税务机关或代收机关的公章或业务专用章。依法免税或无须缴纳税收的投标人应提供相应证明文件</w:t>
      </w:r>
    </w:p>
    <w:p>
      <w:pPr>
        <w:pStyle w:val="null3"/>
      </w:pPr>
      <w:r>
        <w:rPr>
          <w:rFonts w:ascii="仿宋_GB2312" w:hAnsi="仿宋_GB2312" w:cs="仿宋_GB2312" w:eastAsia="仿宋_GB2312"/>
        </w:rPr>
        <w:t>5、信用记录：投标人未被列入《信用中国》（https：//www.creditchina.gov.cn）“重大税收违法失信主体”名单和“失信被执行人”（页面跳转至《中国执行信息公开网》http：//zxgk.court.gov.cn/shixin）及不处于《中国政府采购网》（http：//www.ccgp.gov.cn）记录的“政府采购严重违法失信行为记录名单”中的禁止参加政府采购活动期间，提供书面承诺</w:t>
      </w:r>
    </w:p>
    <w:p>
      <w:pPr>
        <w:pStyle w:val="null3"/>
      </w:pPr>
      <w:r>
        <w:rPr>
          <w:rFonts w:ascii="仿宋_GB2312" w:hAnsi="仿宋_GB2312" w:cs="仿宋_GB2312" w:eastAsia="仿宋_GB2312"/>
        </w:rPr>
        <w:t>6、控股管理关系：若与其他投标人存在单位负责人为同一人或者存在直接控股、管理关系的，则投标无效</w:t>
      </w:r>
    </w:p>
    <w:p>
      <w:pPr>
        <w:pStyle w:val="null3"/>
      </w:pPr>
      <w:r>
        <w:rPr>
          <w:rFonts w:ascii="仿宋_GB2312" w:hAnsi="仿宋_GB2312" w:cs="仿宋_GB2312" w:eastAsia="仿宋_GB2312"/>
        </w:rPr>
        <w:t>7、书面声明：提供书面声明，包括声明具有履行合同所必需的设备和专业技术能力；参加政府采购活动前三年内在经营活动中没有重大违法记录</w:t>
      </w:r>
    </w:p>
    <w:p>
      <w:pPr>
        <w:pStyle w:val="null3"/>
      </w:pPr>
      <w:r>
        <w:rPr>
          <w:rFonts w:ascii="仿宋_GB2312" w:hAnsi="仿宋_GB2312" w:cs="仿宋_GB2312" w:eastAsia="仿宋_GB2312"/>
        </w:rPr>
        <w:t>8、法定代表人（单位负责人）授权委托书：法定代表人（单位负责人）授权书及被授权人身份证复印件或扫描件（法定代表人参加只需提供法定代表人（单位负责人）身份证明）（注：被授权人需提供2025年6月至响应文件提交截止时间至少连续三个月的社保缴纳证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陕西中药研究所（陕西医药信息中心）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陕西省咸阳市毕塬路西段16号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来老师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029-88318306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陕西省西安市碑林区西安市和平路108号佳腾大厦7楼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孙东、李楚瑶、张怡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029-87521312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采购包1：475,000.00元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确定中标人后3个工作日内，由中标人向采购代理机构一次性支付8000元整。2.采购代理服务费以对公账户汇到以下账号：采购代理机构开户名称：陕西省招标有限责任公司，开户银行：招商银行西安朝阳门支行，账号：1299 0424 2010 801。</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陕西中药研究所（陕西医药信息中心）</w:t>
      </w:r>
      <w:r>
        <w:rPr>
          <w:rFonts w:ascii="仿宋_GB2312" w:hAnsi="仿宋_GB2312" w:cs="仿宋_GB2312" w:eastAsia="仿宋_GB2312"/>
        </w:rPr>
        <w:t>和</w:t>
      </w:r>
      <w:r>
        <w:rPr>
          <w:rFonts w:ascii="仿宋_GB2312" w:hAnsi="仿宋_GB2312" w:cs="仿宋_GB2312" w:eastAsia="仿宋_GB2312"/>
        </w:rPr>
        <w:t>陕西省招标有限责任公司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陕西中药研究所（陕西医药信息中心）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陕西中药研究所（陕西医药信息中心）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联系人：胡蕊</w:t>
      </w:r>
    </w:p>
    <w:p>
      <w:pPr>
        <w:pStyle w:val="null3"/>
      </w:pPr>
      <w:r>
        <w:rPr>
          <w:rFonts w:ascii="仿宋_GB2312" w:hAnsi="仿宋_GB2312" w:cs="仿宋_GB2312" w:eastAsia="仿宋_GB2312"/>
        </w:rPr>
        <w:t>联系电话：029-87517633</w:t>
      </w:r>
    </w:p>
    <w:p>
      <w:pPr>
        <w:pStyle w:val="null3"/>
      </w:pPr>
      <w:r>
        <w:rPr>
          <w:rFonts w:ascii="仿宋_GB2312" w:hAnsi="仿宋_GB2312" w:cs="仿宋_GB2312" w:eastAsia="仿宋_GB2312"/>
        </w:rPr>
        <w:t>地址：西安市碑林区108号佳腾大厦7层</w:t>
      </w:r>
    </w:p>
    <w:p>
      <w:pPr>
        <w:pStyle w:val="null3"/>
      </w:pPr>
      <w:r>
        <w:rPr>
          <w:rFonts w:ascii="仿宋_GB2312" w:hAnsi="仿宋_GB2312" w:cs="仿宋_GB2312" w:eastAsia="仿宋_GB2312"/>
        </w:rPr>
        <w:t>邮编：710001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陕西特色药用植物开发配套仪器设备购置，包含高效湿法制粒机、光释光辐照残留检测仪、二极管阵列检测器、实验室变频破碎均质机、5kg槽型混合机。</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475,000.00</w:t>
      </w:r>
    </w:p>
    <w:p>
      <w:pPr>
        <w:pStyle w:val="null3"/>
      </w:pPr>
      <w:r>
        <w:rPr>
          <w:rFonts w:ascii="仿宋_GB2312" w:hAnsi="仿宋_GB2312" w:cs="仿宋_GB2312" w:eastAsia="仿宋_GB2312"/>
        </w:rPr>
        <w:t>采购包最高限价（元）: 475,000.00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高效湿法制粒机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光释光辐照残留检测仪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二极管阵列检测器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实验室变频破碎均质机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5kg槽型混合机</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标的名称：高效湿法制粒机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w:t>
            </w:r>
            <w:r>
              <w:rPr>
                <w:rFonts w:ascii="仿宋_GB2312" w:hAnsi="仿宋_GB2312" w:cs="仿宋_GB2312" w:eastAsia="仿宋_GB2312"/>
              </w:rPr>
              <w:t>SUS304</w:t>
            </w:r>
          </w:p>
          <w:p>
            <w:pPr>
              <w:pStyle w:val="null3"/>
            </w:pPr>
            <w:r>
              <w:rPr>
                <w:rFonts w:ascii="仿宋_GB2312" w:hAnsi="仿宋_GB2312" w:cs="仿宋_GB2312" w:eastAsia="仿宋_GB2312"/>
              </w:rPr>
              <w:t>2、</w:t>
            </w:r>
            <w:r>
              <w:rPr>
                <w:rFonts w:ascii="仿宋_GB2312" w:hAnsi="仿宋_GB2312" w:cs="仿宋_GB2312" w:eastAsia="仿宋_GB2312"/>
              </w:rPr>
              <w:t>容积</w:t>
            </w:r>
            <w:r>
              <w:rPr>
                <w:rFonts w:ascii="仿宋_GB2312" w:hAnsi="仿宋_GB2312" w:cs="仿宋_GB2312" w:eastAsia="仿宋_GB2312"/>
              </w:rPr>
              <w:t>10</w:t>
            </w:r>
            <w:r>
              <w:rPr>
                <w:rFonts w:ascii="仿宋_GB2312" w:hAnsi="仿宋_GB2312" w:cs="仿宋_GB2312" w:eastAsia="仿宋_GB2312"/>
              </w:rPr>
              <w:t>L</w:t>
            </w:r>
          </w:p>
          <w:p>
            <w:pPr>
              <w:pStyle w:val="null3"/>
            </w:pPr>
            <w:r>
              <w:rPr>
                <w:rFonts w:ascii="仿宋_GB2312" w:hAnsi="仿宋_GB2312" w:cs="仿宋_GB2312" w:eastAsia="仿宋_GB2312"/>
              </w:rPr>
              <w:t>3、工作容积：2-6L</w:t>
            </w:r>
          </w:p>
          <w:p>
            <w:pPr>
              <w:pStyle w:val="null3"/>
            </w:pPr>
            <w:r>
              <w:rPr>
                <w:rFonts w:ascii="仿宋_GB2312" w:hAnsi="仿宋_GB2312" w:cs="仿宋_GB2312" w:eastAsia="仿宋_GB2312"/>
              </w:rPr>
              <w:t>4、生产能力：1-</w:t>
            </w:r>
            <w:r>
              <w:rPr>
                <w:rFonts w:ascii="仿宋_GB2312" w:hAnsi="仿宋_GB2312" w:cs="仿宋_GB2312" w:eastAsia="仿宋_GB2312"/>
              </w:rPr>
              <w:t>3kg/</w:t>
            </w:r>
            <w:r>
              <w:rPr>
                <w:rFonts w:ascii="仿宋_GB2312" w:hAnsi="仿宋_GB2312" w:cs="仿宋_GB2312" w:eastAsia="仿宋_GB2312"/>
              </w:rPr>
              <w:t>批</w:t>
            </w:r>
          </w:p>
          <w:p>
            <w:pPr>
              <w:pStyle w:val="null3"/>
            </w:pPr>
            <w:r>
              <w:rPr>
                <w:rFonts w:ascii="仿宋_GB2312" w:hAnsi="仿宋_GB2312" w:cs="仿宋_GB2312" w:eastAsia="仿宋_GB2312"/>
              </w:rPr>
              <w:t>5、</w:t>
            </w:r>
            <w:r>
              <w:rPr>
                <w:rFonts w:ascii="仿宋_GB2312" w:hAnsi="仿宋_GB2312" w:cs="仿宋_GB2312" w:eastAsia="仿宋_GB2312"/>
              </w:rPr>
              <w:t>混合速度</w:t>
            </w:r>
            <w:r>
              <w:rPr>
                <w:rFonts w:ascii="仿宋_GB2312" w:hAnsi="仿宋_GB2312" w:cs="仿宋_GB2312" w:eastAsia="仿宋_GB2312"/>
              </w:rPr>
              <w:t>：变频调速</w:t>
            </w:r>
            <w:r>
              <w:rPr>
                <w:rFonts w:ascii="仿宋_GB2312" w:hAnsi="仿宋_GB2312" w:cs="仿宋_GB2312" w:eastAsia="仿宋_GB2312"/>
              </w:rPr>
              <w:t>50-</w:t>
            </w:r>
            <w:r>
              <w:rPr>
                <w:rFonts w:ascii="仿宋_GB2312" w:hAnsi="仿宋_GB2312" w:cs="仿宋_GB2312" w:eastAsia="仿宋_GB2312"/>
              </w:rPr>
              <w:t>600rpm</w:t>
            </w:r>
          </w:p>
          <w:p>
            <w:pPr>
              <w:pStyle w:val="null3"/>
            </w:pPr>
            <w:r>
              <w:rPr>
                <w:rFonts w:ascii="仿宋_GB2312" w:hAnsi="仿宋_GB2312" w:cs="仿宋_GB2312" w:eastAsia="仿宋_GB2312"/>
              </w:rPr>
              <w:t>6、</w:t>
            </w:r>
            <w:r>
              <w:rPr>
                <w:rFonts w:ascii="仿宋_GB2312" w:hAnsi="仿宋_GB2312" w:cs="仿宋_GB2312" w:eastAsia="仿宋_GB2312"/>
              </w:rPr>
              <w:t>切割速度</w:t>
            </w:r>
            <w:r>
              <w:rPr>
                <w:rFonts w:ascii="仿宋_GB2312" w:hAnsi="仿宋_GB2312" w:cs="仿宋_GB2312" w:eastAsia="仿宋_GB2312"/>
              </w:rPr>
              <w:t>：变频调速</w:t>
            </w:r>
            <w:r>
              <w:rPr>
                <w:rFonts w:ascii="仿宋_GB2312" w:hAnsi="仿宋_GB2312" w:cs="仿宋_GB2312" w:eastAsia="仿宋_GB2312"/>
              </w:rPr>
              <w:t>5</w:t>
            </w:r>
            <w:r>
              <w:rPr>
                <w:rFonts w:ascii="仿宋_GB2312" w:hAnsi="仿宋_GB2312" w:cs="仿宋_GB2312" w:eastAsia="仿宋_GB2312"/>
              </w:rPr>
              <w:t>0</w:t>
            </w:r>
            <w:r>
              <w:rPr>
                <w:rFonts w:ascii="仿宋_GB2312" w:hAnsi="仿宋_GB2312" w:cs="仿宋_GB2312" w:eastAsia="仿宋_GB2312"/>
              </w:rPr>
              <w:t>-</w:t>
            </w:r>
            <w:r>
              <w:rPr>
                <w:rFonts w:ascii="仿宋_GB2312" w:hAnsi="仿宋_GB2312" w:cs="仿宋_GB2312" w:eastAsia="仿宋_GB2312"/>
              </w:rPr>
              <w:t xml:space="preserve"> </w:t>
            </w:r>
            <w:r>
              <w:rPr>
                <w:rFonts w:ascii="仿宋_GB2312" w:hAnsi="仿宋_GB2312" w:cs="仿宋_GB2312" w:eastAsia="仿宋_GB2312"/>
              </w:rPr>
              <w:t>3000rpm</w:t>
            </w:r>
          </w:p>
          <w:p>
            <w:pPr>
              <w:pStyle w:val="null3"/>
            </w:pPr>
            <w:r>
              <w:rPr>
                <w:rFonts w:ascii="仿宋_GB2312" w:hAnsi="仿宋_GB2312" w:cs="仿宋_GB2312" w:eastAsia="仿宋_GB2312"/>
              </w:rPr>
              <w:t>7、混合时间：</w:t>
            </w:r>
            <w:r>
              <w:rPr>
                <w:rFonts w:ascii="仿宋_GB2312" w:hAnsi="仿宋_GB2312" w:cs="仿宋_GB2312" w:eastAsia="仿宋_GB2312"/>
              </w:rPr>
              <w:t>≥</w:t>
            </w:r>
            <w:r>
              <w:rPr>
                <w:rFonts w:ascii="仿宋_GB2312" w:hAnsi="仿宋_GB2312" w:cs="仿宋_GB2312" w:eastAsia="仿宋_GB2312"/>
              </w:rPr>
              <w:t>2分钟/批</w:t>
            </w:r>
          </w:p>
          <w:p>
            <w:pPr>
              <w:pStyle w:val="null3"/>
            </w:pPr>
            <w:r>
              <w:rPr>
                <w:rFonts w:ascii="仿宋_GB2312" w:hAnsi="仿宋_GB2312" w:cs="仿宋_GB2312" w:eastAsia="仿宋_GB2312"/>
              </w:rPr>
              <w:t>8、制粒时间：7-14分钟/批</w:t>
            </w:r>
          </w:p>
          <w:p>
            <w:pPr>
              <w:pStyle w:val="null3"/>
            </w:pPr>
            <w:r>
              <w:rPr>
                <w:rFonts w:ascii="仿宋_GB2312" w:hAnsi="仿宋_GB2312" w:cs="仿宋_GB2312" w:eastAsia="仿宋_GB2312"/>
              </w:rPr>
              <w:t>9、成品粒度：20-100目</w:t>
            </w:r>
          </w:p>
          <w:p>
            <w:pPr>
              <w:pStyle w:val="null3"/>
            </w:pPr>
            <w:r>
              <w:rPr>
                <w:rFonts w:ascii="仿宋_GB2312" w:hAnsi="仿宋_GB2312" w:cs="仿宋_GB2312" w:eastAsia="仿宋_GB2312"/>
              </w:rPr>
              <w:t>10、电</w:t>
            </w:r>
            <w:r>
              <w:rPr>
                <w:rFonts w:ascii="仿宋_GB2312" w:hAnsi="仿宋_GB2312" w:cs="仿宋_GB2312" w:eastAsia="仿宋_GB2312"/>
              </w:rPr>
              <w:t>源电压：</w:t>
            </w:r>
            <w:r>
              <w:rPr>
                <w:rFonts w:ascii="仿宋_GB2312" w:hAnsi="仿宋_GB2312" w:cs="仿宋_GB2312" w:eastAsia="仿宋_GB2312"/>
              </w:rPr>
              <w:t>AV220V  50Hz</w:t>
            </w:r>
          </w:p>
          <w:p>
            <w:pPr>
              <w:pStyle w:val="null3"/>
            </w:pPr>
            <w:r>
              <w:rPr>
                <w:rFonts w:ascii="仿宋_GB2312" w:hAnsi="仿宋_GB2312" w:cs="仿宋_GB2312" w:eastAsia="仿宋_GB2312"/>
              </w:rPr>
              <w:t>11、外形尺寸：≤1500*550*1300mm</w:t>
            </w:r>
          </w:p>
          <w:p>
            <w:pPr>
              <w:pStyle w:val="null3"/>
            </w:pPr>
            <w:r>
              <w:rPr>
                <w:rFonts w:ascii="仿宋_GB2312" w:hAnsi="仿宋_GB2312" w:cs="仿宋_GB2312" w:eastAsia="仿宋_GB2312"/>
                <w:sz w:val="21"/>
              </w:rPr>
              <w:t>12、压缩空气：0.3-0.4Mpa</w:t>
            </w:r>
          </w:p>
        </w:tc>
      </w:tr>
    </w:tbl>
    <w:p>
      <w:pPr>
        <w:pStyle w:val="null3"/>
      </w:pPr>
      <w:r>
        <w:rPr>
          <w:rFonts w:ascii="仿宋_GB2312" w:hAnsi="仿宋_GB2312" w:cs="仿宋_GB2312" w:eastAsia="仿宋_GB2312"/>
        </w:rPr>
        <w:t>标的名称：光释光辐照残留检测仪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w:t>
            </w:r>
            <w:r>
              <w:rPr>
                <w:rFonts w:ascii="仿宋_GB2312" w:hAnsi="仿宋_GB2312" w:cs="仿宋_GB2312" w:eastAsia="仿宋_GB2312"/>
              </w:rPr>
              <w:t>IRLED激发光源</w:t>
            </w:r>
          </w:p>
          <w:p>
            <w:pPr>
              <w:pStyle w:val="null3"/>
              <w:jc w:val="both"/>
            </w:pPr>
            <w:r>
              <w:rPr>
                <w:rFonts w:ascii="仿宋_GB2312" w:hAnsi="仿宋_GB2312" w:cs="仿宋_GB2312" w:eastAsia="仿宋_GB2312"/>
              </w:rPr>
              <w:t>2、</w:t>
            </w:r>
            <w:r>
              <w:rPr>
                <w:rFonts w:ascii="仿宋_GB2312" w:hAnsi="仿宋_GB2312" w:cs="仿宋_GB2312" w:eastAsia="仿宋_GB2312"/>
              </w:rPr>
              <w:t>PSL光子检测</w:t>
            </w:r>
            <w:r>
              <w:rPr>
                <w:rFonts w:ascii="仿宋_GB2312" w:hAnsi="仿宋_GB2312" w:cs="仿宋_GB2312" w:eastAsia="仿宋_GB2312"/>
              </w:rPr>
              <w:t>系统</w:t>
            </w:r>
          </w:p>
          <w:p>
            <w:pPr>
              <w:pStyle w:val="null3"/>
              <w:jc w:val="both"/>
            </w:pPr>
            <w:r>
              <w:rPr>
                <w:rFonts w:ascii="仿宋_GB2312" w:hAnsi="仿宋_GB2312" w:cs="仿宋_GB2312" w:eastAsia="仿宋_GB2312"/>
              </w:rPr>
              <w:t>3、</w:t>
            </w:r>
            <w:r>
              <w:rPr>
                <w:rFonts w:ascii="仿宋_GB2312" w:hAnsi="仿宋_GB2312" w:cs="仿宋_GB2312" w:eastAsia="仿宋_GB2312"/>
              </w:rPr>
              <w:t>波长范围：</w:t>
            </w:r>
            <w:r>
              <w:rPr>
                <w:rFonts w:ascii="仿宋_GB2312" w:hAnsi="仿宋_GB2312" w:cs="仿宋_GB2312" w:eastAsia="仿宋_GB2312"/>
              </w:rPr>
              <w:t>300-650nm</w:t>
            </w:r>
            <w:r>
              <w:rPr>
                <w:rFonts w:ascii="仿宋_GB2312" w:hAnsi="仿宋_GB2312" w:cs="仿宋_GB2312" w:eastAsia="仿宋_GB2312"/>
              </w:rPr>
              <w:t>，或范围更宽</w:t>
            </w:r>
          </w:p>
          <w:p>
            <w:pPr>
              <w:pStyle w:val="null3"/>
              <w:jc w:val="both"/>
            </w:pPr>
            <w:r>
              <w:rPr>
                <w:rFonts w:ascii="仿宋_GB2312" w:hAnsi="仿宋_GB2312" w:cs="仿宋_GB2312" w:eastAsia="仿宋_GB2312"/>
              </w:rPr>
              <w:t>4、</w:t>
            </w:r>
            <w:r>
              <w:rPr>
                <w:rFonts w:ascii="仿宋_GB2312" w:hAnsi="仿宋_GB2312" w:cs="仿宋_GB2312" w:eastAsia="仿宋_GB2312"/>
              </w:rPr>
              <w:t>PSL值采集范围：0-250万cps</w:t>
            </w:r>
            <w:r>
              <w:rPr>
                <w:rFonts w:ascii="仿宋_GB2312" w:hAnsi="仿宋_GB2312" w:cs="仿宋_GB2312" w:eastAsia="仿宋_GB2312"/>
              </w:rPr>
              <w:t>，或范围更宽</w:t>
            </w:r>
          </w:p>
          <w:p>
            <w:pPr>
              <w:pStyle w:val="null3"/>
            </w:pPr>
            <w:r>
              <w:rPr>
                <w:rFonts w:ascii="仿宋_GB2312" w:hAnsi="仿宋_GB2312" w:cs="仿宋_GB2312" w:eastAsia="仿宋_GB2312"/>
                <w:sz w:val="21"/>
                <w:b/>
              </w:rPr>
              <w:t>注：</w:t>
            </w:r>
            <w:r>
              <w:rPr>
                <w:rFonts w:ascii="仿宋_GB2312" w:hAnsi="仿宋_GB2312" w:cs="仿宋_GB2312" w:eastAsia="仿宋_GB2312"/>
                <w:sz w:val="21"/>
                <w:b/>
              </w:rPr>
              <w:t>核心产品</w:t>
            </w:r>
          </w:p>
        </w:tc>
      </w:tr>
    </w:tbl>
    <w:p>
      <w:pPr>
        <w:pStyle w:val="null3"/>
      </w:pPr>
      <w:r>
        <w:rPr>
          <w:rFonts w:ascii="仿宋_GB2312" w:hAnsi="仿宋_GB2312" w:cs="仿宋_GB2312" w:eastAsia="仿宋_GB2312"/>
        </w:rPr>
        <w:t>标的名称：二极管阵列检测器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w:t>
            </w:r>
            <w:r>
              <w:rPr>
                <w:rFonts w:ascii="仿宋_GB2312" w:hAnsi="仿宋_GB2312" w:cs="仿宋_GB2312" w:eastAsia="仿宋_GB2312"/>
              </w:rPr>
              <w:t>氘灯加钨灯光源</w:t>
            </w:r>
          </w:p>
          <w:p>
            <w:pPr>
              <w:pStyle w:val="null3"/>
              <w:jc w:val="both"/>
            </w:pPr>
            <w:r>
              <w:rPr>
                <w:rFonts w:ascii="仿宋_GB2312" w:hAnsi="仿宋_GB2312" w:cs="仿宋_GB2312" w:eastAsia="仿宋_GB2312"/>
              </w:rPr>
              <w:t>2、</w:t>
            </w:r>
            <w:r>
              <w:rPr>
                <w:rFonts w:ascii="仿宋_GB2312" w:hAnsi="仿宋_GB2312" w:cs="仿宋_GB2312" w:eastAsia="仿宋_GB2312"/>
              </w:rPr>
              <w:t>波长</w:t>
            </w:r>
            <w:r>
              <w:rPr>
                <w:rFonts w:ascii="仿宋_GB2312" w:hAnsi="仿宋_GB2312" w:cs="仿宋_GB2312" w:eastAsia="仿宋_GB2312"/>
              </w:rPr>
              <w:t>190-750nm，精度≤1nm</w:t>
            </w:r>
          </w:p>
          <w:p>
            <w:pPr>
              <w:pStyle w:val="null3"/>
              <w:jc w:val="both"/>
            </w:pPr>
            <w:r>
              <w:rPr>
                <w:rFonts w:ascii="仿宋_GB2312" w:hAnsi="仿宋_GB2312" w:cs="仿宋_GB2312" w:eastAsia="仿宋_GB2312"/>
              </w:rPr>
              <w:t>3、</w:t>
            </w:r>
            <w:r>
              <w:rPr>
                <w:rFonts w:ascii="仿宋_GB2312" w:hAnsi="仿宋_GB2312" w:cs="仿宋_GB2312" w:eastAsia="仿宋_GB2312"/>
              </w:rPr>
              <w:t>噪音</w:t>
            </w:r>
            <w:r>
              <w:rPr>
                <w:rFonts w:ascii="仿宋_GB2312" w:hAnsi="仿宋_GB2312" w:cs="仿宋_GB2312" w:eastAsia="仿宋_GB2312"/>
              </w:rPr>
              <w:t>≤±0.35e-5，飘移≤5.5e-4AU/h，检测池10uL可</w:t>
            </w:r>
            <w:r>
              <w:rPr>
                <w:rFonts w:ascii="仿宋_GB2312" w:hAnsi="仿宋_GB2312" w:cs="仿宋_GB2312" w:eastAsia="仿宋_GB2312"/>
              </w:rPr>
              <w:t>更</w:t>
            </w:r>
            <w:r>
              <w:rPr>
                <w:rFonts w:ascii="仿宋_GB2312" w:hAnsi="仿宋_GB2312" w:cs="仿宋_GB2312" w:eastAsia="仿宋_GB2312"/>
              </w:rPr>
              <w:t>换</w:t>
            </w:r>
            <w:r>
              <w:rPr>
                <w:rFonts w:ascii="仿宋_GB2312" w:hAnsi="仿宋_GB2312" w:cs="仿宋_GB2312" w:eastAsia="仿宋_GB2312"/>
              </w:rPr>
              <w:t>组件</w:t>
            </w:r>
          </w:p>
          <w:p>
            <w:pPr>
              <w:pStyle w:val="null3"/>
              <w:jc w:val="both"/>
            </w:pPr>
            <w:r>
              <w:rPr>
                <w:rFonts w:ascii="仿宋_GB2312" w:hAnsi="仿宋_GB2312" w:cs="仿宋_GB2312" w:eastAsia="仿宋_GB2312"/>
              </w:rPr>
              <w:t>4、</w:t>
            </w:r>
            <w:r>
              <w:rPr>
                <w:rFonts w:ascii="仿宋_GB2312" w:hAnsi="仿宋_GB2312" w:cs="仿宋_GB2312" w:eastAsia="仿宋_GB2312"/>
              </w:rPr>
              <w:t>同时监测波长个数</w:t>
            </w:r>
            <w:r>
              <w:rPr>
                <w:rFonts w:ascii="仿宋_GB2312" w:hAnsi="仿宋_GB2312" w:cs="仿宋_GB2312" w:eastAsia="仿宋_GB2312"/>
              </w:rPr>
              <w:t>≥</w:t>
            </w:r>
            <w:r>
              <w:rPr>
                <w:rFonts w:ascii="仿宋_GB2312" w:hAnsi="仿宋_GB2312" w:cs="仿宋_GB2312" w:eastAsia="仿宋_GB2312"/>
              </w:rPr>
              <w:t>16个</w:t>
            </w:r>
          </w:p>
          <w:p>
            <w:pPr>
              <w:pStyle w:val="null3"/>
              <w:jc w:val="both"/>
            </w:pPr>
            <w:r>
              <w:rPr>
                <w:rFonts w:ascii="仿宋_GB2312" w:hAnsi="仿宋_GB2312" w:cs="仿宋_GB2312" w:eastAsia="仿宋_GB2312"/>
              </w:rPr>
              <w:t>5、</w:t>
            </w:r>
            <w:r>
              <w:rPr>
                <w:rFonts w:ascii="仿宋_GB2312" w:hAnsi="仿宋_GB2312" w:cs="仿宋_GB2312" w:eastAsia="仿宋_GB2312"/>
              </w:rPr>
              <w:t>新增设备与原有质谱检测器匹配</w:t>
            </w:r>
            <w:r>
              <w:rPr>
                <w:rFonts w:ascii="仿宋_GB2312" w:hAnsi="仿宋_GB2312" w:cs="仿宋_GB2312" w:eastAsia="仿宋_GB2312"/>
              </w:rPr>
              <w:t>（质谱检测器型号：</w:t>
            </w:r>
            <w:r>
              <w:rPr>
                <w:rFonts w:ascii="仿宋_GB2312" w:hAnsi="仿宋_GB2312" w:cs="仿宋_GB2312" w:eastAsia="仿宋_GB2312"/>
              </w:rPr>
              <w:t>AB SCIEX</w:t>
            </w:r>
            <w:r>
              <w:rPr>
                <w:rFonts w:ascii="仿宋_GB2312" w:hAnsi="仿宋_GB2312" w:cs="仿宋_GB2312" w:eastAsia="仿宋_GB2312"/>
              </w:rPr>
              <w:t>，</w:t>
            </w:r>
            <w:r>
              <w:rPr>
                <w:rFonts w:ascii="仿宋_GB2312" w:hAnsi="仿宋_GB2312" w:cs="仿宋_GB2312" w:eastAsia="仿宋_GB2312"/>
              </w:rPr>
              <w:t>API3200；控制器：AB SCIEX</w:t>
            </w:r>
            <w:r>
              <w:rPr>
                <w:rFonts w:ascii="仿宋_GB2312" w:hAnsi="仿宋_GB2312" w:cs="仿宋_GB2312" w:eastAsia="仿宋_GB2312"/>
              </w:rPr>
              <w:t>，</w:t>
            </w:r>
            <w:r>
              <w:rPr>
                <w:rFonts w:ascii="仿宋_GB2312" w:hAnsi="仿宋_GB2312" w:cs="仿宋_GB2312" w:eastAsia="仿宋_GB2312"/>
              </w:rPr>
              <w:t>ExionLC Controller)，</w:t>
            </w:r>
            <w:r>
              <w:rPr>
                <w:rFonts w:ascii="仿宋_GB2312" w:hAnsi="仿宋_GB2312" w:cs="仿宋_GB2312" w:eastAsia="仿宋_GB2312"/>
              </w:rPr>
              <w:t>可同时运行</w:t>
            </w:r>
          </w:p>
          <w:p>
            <w:pPr>
              <w:pStyle w:val="null3"/>
            </w:pPr>
            <w:r>
              <w:rPr>
                <w:rFonts w:ascii="仿宋_GB2312" w:hAnsi="仿宋_GB2312" w:cs="仿宋_GB2312" w:eastAsia="仿宋_GB2312"/>
                <w:sz w:val="21"/>
              </w:rPr>
              <w:t>6、</w:t>
            </w:r>
            <w:r>
              <w:rPr>
                <w:rFonts w:ascii="仿宋_GB2312" w:hAnsi="仿宋_GB2312" w:cs="仿宋_GB2312" w:eastAsia="仿宋_GB2312"/>
                <w:sz w:val="21"/>
              </w:rPr>
              <w:t>升级工作站</w:t>
            </w:r>
            <w:r>
              <w:rPr>
                <w:rFonts w:ascii="仿宋_GB2312" w:hAnsi="仿宋_GB2312" w:cs="仿宋_GB2312" w:eastAsia="仿宋_GB2312"/>
                <w:sz w:val="21"/>
              </w:rPr>
              <w:t>：新工作站配置</w:t>
            </w:r>
            <w:r>
              <w:rPr>
                <w:rFonts w:ascii="仿宋_GB2312" w:hAnsi="仿宋_GB2312" w:cs="仿宋_GB2312" w:eastAsia="仿宋_GB2312"/>
                <w:sz w:val="21"/>
              </w:rPr>
              <w:t>≥</w:t>
            </w:r>
            <w:r>
              <w:rPr>
                <w:rFonts w:ascii="仿宋_GB2312" w:hAnsi="仿宋_GB2312" w:cs="仿宋_GB2312" w:eastAsia="仿宋_GB2312"/>
                <w:sz w:val="21"/>
              </w:rPr>
              <w:t>（操作系统：</w:t>
            </w:r>
            <w:r>
              <w:rPr>
                <w:rFonts w:ascii="仿宋_GB2312" w:hAnsi="仿宋_GB2312" w:cs="仿宋_GB2312" w:eastAsia="仿宋_GB2312"/>
                <w:sz w:val="21"/>
              </w:rPr>
              <w:t>≥Windows 10 loT Enterprise LTSC</w:t>
            </w:r>
            <w:r>
              <w:rPr>
                <w:rFonts w:ascii="仿宋_GB2312" w:hAnsi="仿宋_GB2312" w:cs="仿宋_GB2312" w:eastAsia="仿宋_GB2312"/>
                <w:sz w:val="21"/>
              </w:rPr>
              <w:t>2021</w:t>
            </w:r>
            <w:r>
              <w:rPr>
                <w:rFonts w:ascii="仿宋_GB2312" w:hAnsi="仿宋_GB2312" w:cs="仿宋_GB2312" w:eastAsia="仿宋_GB2312"/>
                <w:sz w:val="21"/>
              </w:rPr>
              <w:t>；处理器：</w:t>
            </w:r>
            <w:r>
              <w:rPr>
                <w:rFonts w:ascii="仿宋_GB2312" w:hAnsi="仿宋_GB2312" w:cs="仿宋_GB2312" w:eastAsia="仿宋_GB2312"/>
                <w:sz w:val="21"/>
              </w:rPr>
              <w:t>≥8</w:t>
            </w:r>
            <w:r>
              <w:rPr>
                <w:rFonts w:ascii="仿宋_GB2312" w:hAnsi="仿宋_GB2312" w:cs="仿宋_GB2312" w:eastAsia="仿宋_GB2312"/>
                <w:sz w:val="21"/>
              </w:rPr>
              <w:t>核心，</w:t>
            </w:r>
            <w:r>
              <w:rPr>
                <w:rFonts w:ascii="仿宋_GB2312" w:hAnsi="仿宋_GB2312" w:cs="仿宋_GB2312" w:eastAsia="仿宋_GB2312"/>
                <w:sz w:val="21"/>
              </w:rPr>
              <w:t>≥16</w:t>
            </w:r>
            <w:r>
              <w:rPr>
                <w:rFonts w:ascii="仿宋_GB2312" w:hAnsi="仿宋_GB2312" w:cs="仿宋_GB2312" w:eastAsia="仿宋_GB2312"/>
                <w:sz w:val="21"/>
              </w:rPr>
              <w:t>线程，</w:t>
            </w:r>
            <w:r>
              <w:rPr>
                <w:rFonts w:ascii="仿宋_GB2312" w:hAnsi="仿宋_GB2312" w:cs="仿宋_GB2312" w:eastAsia="仿宋_GB2312"/>
                <w:sz w:val="21"/>
              </w:rPr>
              <w:t>≥4.5 GHz</w:t>
            </w:r>
            <w:r>
              <w:rPr>
                <w:rFonts w:ascii="仿宋_GB2312" w:hAnsi="仿宋_GB2312" w:cs="仿宋_GB2312" w:eastAsia="仿宋_GB2312"/>
                <w:sz w:val="21"/>
              </w:rPr>
              <w:t xml:space="preserve">；内存：容量 </w:t>
            </w:r>
            <w:r>
              <w:rPr>
                <w:rFonts w:ascii="仿宋_GB2312" w:hAnsi="仿宋_GB2312" w:cs="仿宋_GB2312" w:eastAsia="仿宋_GB2312"/>
                <w:sz w:val="21"/>
              </w:rPr>
              <w:t>≥ 32GB</w:t>
            </w:r>
            <w:r>
              <w:rPr>
                <w:rFonts w:ascii="仿宋_GB2312" w:hAnsi="仿宋_GB2312" w:cs="仿宋_GB2312" w:eastAsia="仿宋_GB2312"/>
                <w:sz w:val="21"/>
              </w:rPr>
              <w:t xml:space="preserve">，频率 </w:t>
            </w:r>
            <w:r>
              <w:rPr>
                <w:rFonts w:ascii="仿宋_GB2312" w:hAnsi="仿宋_GB2312" w:cs="仿宋_GB2312" w:eastAsia="仿宋_GB2312"/>
                <w:sz w:val="21"/>
              </w:rPr>
              <w:t>≥ 4800MHz</w:t>
            </w:r>
            <w:r>
              <w:rPr>
                <w:rFonts w:ascii="仿宋_GB2312" w:hAnsi="仿宋_GB2312" w:cs="仿宋_GB2312" w:eastAsia="仿宋_GB2312"/>
                <w:sz w:val="21"/>
              </w:rPr>
              <w:t>，</w:t>
            </w:r>
            <w:r>
              <w:rPr>
                <w:rFonts w:ascii="仿宋_GB2312" w:hAnsi="仿宋_GB2312" w:cs="仿宋_GB2312" w:eastAsia="仿宋_GB2312"/>
                <w:sz w:val="21"/>
              </w:rPr>
              <w:t>DDR5</w:t>
            </w:r>
            <w:r>
              <w:rPr>
                <w:rFonts w:ascii="仿宋_GB2312" w:hAnsi="仿宋_GB2312" w:cs="仿宋_GB2312" w:eastAsia="仿宋_GB2312"/>
                <w:sz w:val="21"/>
              </w:rPr>
              <w:t>，</w:t>
            </w:r>
            <w:r>
              <w:rPr>
                <w:rFonts w:ascii="仿宋_GB2312" w:hAnsi="仿宋_GB2312" w:cs="仿宋_GB2312" w:eastAsia="仿宋_GB2312"/>
                <w:sz w:val="21"/>
              </w:rPr>
              <w:t>RDIMM</w:t>
            </w:r>
            <w:r>
              <w:rPr>
                <w:rFonts w:ascii="仿宋_GB2312" w:hAnsi="仿宋_GB2312" w:cs="仿宋_GB2312" w:eastAsia="仿宋_GB2312"/>
                <w:sz w:val="21"/>
              </w:rPr>
              <w:t>，</w:t>
            </w:r>
            <w:r>
              <w:rPr>
                <w:rFonts w:ascii="仿宋_GB2312" w:hAnsi="仿宋_GB2312" w:cs="仿宋_GB2312" w:eastAsia="仿宋_GB2312"/>
                <w:sz w:val="21"/>
              </w:rPr>
              <w:t>ECC</w:t>
            </w:r>
            <w:r>
              <w:rPr>
                <w:rFonts w:ascii="仿宋_GB2312" w:hAnsi="仿宋_GB2312" w:cs="仿宋_GB2312" w:eastAsia="仿宋_GB2312"/>
                <w:sz w:val="21"/>
              </w:rPr>
              <w:t xml:space="preserve">；磁盘空间：单块容量 </w:t>
            </w:r>
            <w:r>
              <w:rPr>
                <w:rFonts w:ascii="仿宋_GB2312" w:hAnsi="仿宋_GB2312" w:cs="仿宋_GB2312" w:eastAsia="仿宋_GB2312"/>
                <w:sz w:val="21"/>
              </w:rPr>
              <w:t>≥ 1TB</w:t>
            </w:r>
            <w:r>
              <w:rPr>
                <w:rFonts w:ascii="仿宋_GB2312" w:hAnsi="仿宋_GB2312" w:cs="仿宋_GB2312" w:eastAsia="仿宋_GB2312"/>
                <w:sz w:val="21"/>
              </w:rPr>
              <w:t xml:space="preserve">，数量 </w:t>
            </w:r>
            <w:r>
              <w:rPr>
                <w:rFonts w:ascii="仿宋_GB2312" w:hAnsi="仿宋_GB2312" w:cs="仿宋_GB2312" w:eastAsia="仿宋_GB2312"/>
                <w:sz w:val="21"/>
              </w:rPr>
              <w:t>≥ 2</w:t>
            </w:r>
            <w:r>
              <w:rPr>
                <w:rFonts w:ascii="仿宋_GB2312" w:hAnsi="仿宋_GB2312" w:cs="仿宋_GB2312" w:eastAsia="仿宋_GB2312"/>
                <w:sz w:val="21"/>
              </w:rPr>
              <w:t>块，固态硬盘，</w:t>
            </w:r>
            <w:r>
              <w:rPr>
                <w:rFonts w:ascii="仿宋_GB2312" w:hAnsi="仿宋_GB2312" w:cs="仿宋_GB2312" w:eastAsia="仿宋_GB2312"/>
                <w:sz w:val="21"/>
              </w:rPr>
              <w:t>M.2 NVMe</w:t>
            </w:r>
            <w:r>
              <w:rPr>
                <w:rFonts w:ascii="仿宋_GB2312" w:hAnsi="仿宋_GB2312" w:cs="仿宋_GB2312" w:eastAsia="仿宋_GB2312"/>
                <w:sz w:val="21"/>
              </w:rPr>
              <w:t>接口，支持</w:t>
            </w:r>
            <w:r>
              <w:rPr>
                <w:rFonts w:ascii="仿宋_GB2312" w:hAnsi="仿宋_GB2312" w:cs="仿宋_GB2312" w:eastAsia="仿宋_GB2312"/>
                <w:sz w:val="21"/>
              </w:rPr>
              <w:t>RAID 1</w:t>
            </w:r>
            <w:r>
              <w:rPr>
                <w:rFonts w:ascii="仿宋_GB2312" w:hAnsi="仿宋_GB2312" w:cs="仿宋_GB2312" w:eastAsia="仿宋_GB2312"/>
                <w:sz w:val="21"/>
              </w:rPr>
              <w:t>磁盘冗余，配备</w:t>
            </w:r>
            <w:r>
              <w:rPr>
                <w:rFonts w:ascii="仿宋_GB2312" w:hAnsi="仿宋_GB2312" w:cs="仿宋_GB2312" w:eastAsia="仿宋_GB2312"/>
                <w:sz w:val="21"/>
              </w:rPr>
              <w:t>M.2</w:t>
            </w:r>
            <w:r>
              <w:rPr>
                <w:rFonts w:ascii="仿宋_GB2312" w:hAnsi="仿宋_GB2312" w:cs="仿宋_GB2312" w:eastAsia="仿宋_GB2312"/>
                <w:sz w:val="21"/>
              </w:rPr>
              <w:t xml:space="preserve">接口硬盘托架；网络端口：总数 </w:t>
            </w:r>
            <w:r>
              <w:rPr>
                <w:rFonts w:ascii="仿宋_GB2312" w:hAnsi="仿宋_GB2312" w:cs="仿宋_GB2312" w:eastAsia="仿宋_GB2312"/>
                <w:sz w:val="21"/>
              </w:rPr>
              <w:t>≥ 4</w:t>
            </w:r>
            <w:r>
              <w:rPr>
                <w:rFonts w:ascii="仿宋_GB2312" w:hAnsi="仿宋_GB2312" w:cs="仿宋_GB2312" w:eastAsia="仿宋_GB2312"/>
                <w:sz w:val="21"/>
              </w:rPr>
              <w:t xml:space="preserve">个，其中千兆或更高速度以太网端口 </w:t>
            </w:r>
            <w:r>
              <w:rPr>
                <w:rFonts w:ascii="仿宋_GB2312" w:hAnsi="仿宋_GB2312" w:cs="仿宋_GB2312" w:eastAsia="仿宋_GB2312"/>
                <w:sz w:val="21"/>
              </w:rPr>
              <w:t>≥ 2</w:t>
            </w:r>
            <w:r>
              <w:rPr>
                <w:rFonts w:ascii="仿宋_GB2312" w:hAnsi="仿宋_GB2312" w:cs="仿宋_GB2312" w:eastAsia="仿宋_GB2312"/>
                <w:sz w:val="21"/>
              </w:rPr>
              <w:t>个），重新安装工作站软件并调试。</w:t>
            </w:r>
          </w:p>
        </w:tc>
      </w:tr>
    </w:tbl>
    <w:p>
      <w:pPr>
        <w:pStyle w:val="null3"/>
      </w:pPr>
      <w:r>
        <w:rPr>
          <w:rFonts w:ascii="仿宋_GB2312" w:hAnsi="仿宋_GB2312" w:cs="仿宋_GB2312" w:eastAsia="仿宋_GB2312"/>
        </w:rPr>
        <w:t>标的名称：实验室变频破碎均质机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w:t>
            </w:r>
            <w:r>
              <w:rPr>
                <w:rFonts w:ascii="仿宋_GB2312" w:hAnsi="仿宋_GB2312" w:cs="仿宋_GB2312" w:eastAsia="仿宋_GB2312"/>
              </w:rPr>
              <w:t>转速</w:t>
            </w:r>
            <w:r>
              <w:rPr>
                <w:rFonts w:ascii="仿宋_GB2312" w:hAnsi="仿宋_GB2312" w:cs="仿宋_GB2312" w:eastAsia="仿宋_GB2312"/>
              </w:rPr>
              <w:t>100-8000rpm</w:t>
            </w:r>
          </w:p>
          <w:p>
            <w:pPr>
              <w:pStyle w:val="null3"/>
              <w:jc w:val="both"/>
            </w:pPr>
            <w:r>
              <w:rPr>
                <w:rFonts w:ascii="仿宋_GB2312" w:hAnsi="仿宋_GB2312" w:cs="仿宋_GB2312" w:eastAsia="仿宋_GB2312"/>
              </w:rPr>
              <w:t>2、</w:t>
            </w:r>
            <w:r>
              <w:rPr>
                <w:rFonts w:ascii="仿宋_GB2312" w:hAnsi="仿宋_GB2312" w:cs="仿宋_GB2312" w:eastAsia="仿宋_GB2312"/>
              </w:rPr>
              <w:t>处理量</w:t>
            </w:r>
            <w:r>
              <w:rPr>
                <w:rFonts w:ascii="仿宋_GB2312" w:hAnsi="仿宋_GB2312" w:cs="仿宋_GB2312" w:eastAsia="仿宋_GB2312"/>
              </w:rPr>
              <w:t>0.5Kg-5Kg</w:t>
            </w:r>
          </w:p>
          <w:p>
            <w:pPr>
              <w:pStyle w:val="null3"/>
              <w:jc w:val="both"/>
            </w:pPr>
            <w:r>
              <w:rPr>
                <w:rFonts w:ascii="仿宋_GB2312" w:hAnsi="仿宋_GB2312" w:cs="仿宋_GB2312" w:eastAsia="仿宋_GB2312"/>
              </w:rPr>
              <w:t>3、</w:t>
            </w:r>
            <w:r>
              <w:rPr>
                <w:rFonts w:ascii="仿宋_GB2312" w:hAnsi="仿宋_GB2312" w:cs="仿宋_GB2312" w:eastAsia="仿宋_GB2312"/>
              </w:rPr>
              <w:t>分散叶轮规格</w:t>
            </w:r>
            <w:r>
              <w:rPr>
                <w:rFonts w:ascii="仿宋_GB2312" w:hAnsi="仿宋_GB2312" w:cs="仿宋_GB2312" w:eastAsia="仿宋_GB2312"/>
              </w:rPr>
              <w:t>Φ50或Φ60</w:t>
            </w:r>
          </w:p>
          <w:p>
            <w:pPr>
              <w:pStyle w:val="null3"/>
            </w:pPr>
            <w:r>
              <w:rPr>
                <w:rFonts w:ascii="仿宋_GB2312" w:hAnsi="仿宋_GB2312" w:cs="仿宋_GB2312" w:eastAsia="仿宋_GB2312"/>
                <w:sz w:val="21"/>
              </w:rPr>
              <w:t>4、</w:t>
            </w:r>
            <w:r>
              <w:rPr>
                <w:rFonts w:ascii="仿宋_GB2312" w:hAnsi="仿宋_GB2312" w:cs="仿宋_GB2312" w:eastAsia="仿宋_GB2312"/>
                <w:sz w:val="21"/>
              </w:rPr>
              <w:t>可升降款式</w:t>
            </w:r>
          </w:p>
        </w:tc>
      </w:tr>
    </w:tbl>
    <w:p>
      <w:pPr>
        <w:pStyle w:val="null3"/>
      </w:pPr>
      <w:r>
        <w:rPr>
          <w:rFonts w:ascii="仿宋_GB2312" w:hAnsi="仿宋_GB2312" w:cs="仿宋_GB2312" w:eastAsia="仿宋_GB2312"/>
        </w:rPr>
        <w:t>标的名称：5kg槽型混合机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w:t>
            </w:r>
            <w:r>
              <w:rPr>
                <w:rFonts w:ascii="仿宋_GB2312" w:hAnsi="仿宋_GB2312" w:cs="仿宋_GB2312" w:eastAsia="仿宋_GB2312"/>
              </w:rPr>
              <w:t>工作容积</w:t>
            </w:r>
            <w:r>
              <w:rPr>
                <w:rFonts w:ascii="仿宋_GB2312" w:hAnsi="仿宋_GB2312" w:cs="仿宋_GB2312" w:eastAsia="仿宋_GB2312"/>
              </w:rPr>
              <w:t>5L</w:t>
            </w:r>
          </w:p>
          <w:p>
            <w:pPr>
              <w:pStyle w:val="null3"/>
            </w:pPr>
            <w:r>
              <w:rPr>
                <w:rFonts w:ascii="仿宋_GB2312" w:hAnsi="仿宋_GB2312" w:cs="仿宋_GB2312" w:eastAsia="仿宋_GB2312"/>
                <w:sz w:val="21"/>
              </w:rPr>
              <w:t>2、</w:t>
            </w:r>
            <w:r>
              <w:rPr>
                <w:rFonts w:ascii="仿宋_GB2312" w:hAnsi="仿宋_GB2312" w:cs="仿宋_GB2312" w:eastAsia="仿宋_GB2312"/>
                <w:sz w:val="21"/>
              </w:rPr>
              <w:t>混合机体采用</w:t>
            </w:r>
            <w:r>
              <w:rPr>
                <w:rFonts w:ascii="仿宋_GB2312" w:hAnsi="仿宋_GB2312" w:cs="仿宋_GB2312" w:eastAsia="仿宋_GB2312"/>
                <w:sz w:val="21"/>
              </w:rPr>
              <w:t>304不锈钢材质</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30天（包含安装调试）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西安市科技二路69号</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所有货物到达甲方指定地点，安装、调试、验收合格、试运行15个工作日无问题后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需要落实政府采购政策：（1）《政府采购促进中小企业发展管理办法》（财库〔2020〕46号）、《关于进一步加大政府采购支持中小企业力度的通知》（财库〔2022〕19号）、《陕西省财政厅关于进一步加大政府采购支持中小企业力度的通知》（陕财办采〔2022〕5号）、《关于政府采购支持监狱企业发展有关问题的通知》（财库〔2014〕68号）、《关于促进残疾人就业政府采购政策的通知》（财库〔2017〕141号）。（2）国务院办公厅《关于建立政府强制采购节能产品制度的通知》（国办发〔2007〕51号）。财政部、国家发改委、生态环境部、市场监管总局联合印发《关于调整优化节能产品、环境标志产品政府采购执行机制的通知》（财库〔2019〕9号）、《关于印发环境标志产品政府采购品目清单的通知》（财库〔2019〕18号）、《关于印发节能产品政府采购品目清单的通知》（财库〔2019〕19号）。（3）《财政部农业农村部国家乡村振兴局关于运用政府采购政策支持乡村产业振兴的通知》（财库〔2021〕19号）、《财政部农业农村部国家乡村振兴局中华全国供销合作总社关于印发&lt;关于深入开展政府采购脱贫地区农副产品工作推进乡村产业振兴的实施意见&gt;的通知》（财库〔2021〕20号）。（4）《陕西省财政厅关于加快推进我省中小企业政府采购信用融资工作的通知》（陕财办采〔2020〕15号）、陕西省财政厅关于印发《陕西省中小企业政府采购信用融资办法》（陕财办采〔2018〕23号）。（5）《关于扩大政府采购支持绿色建材促进建筑品质提升政策实施范围的通知》（财库〔2022〕35号）、《财政部办公厅 住房城乡建设部办公厅 工业和信息化部办公厅关于印发&lt;政府采购支持绿色建材促进建筑品质提升政策项目实施指南&gt;的通知》（ 财办库〔2023〕52号）。（6）《国务院办公厅关于在政府采购中实施本国产品标准及相关政策的通知》（国办发〔2025〕34号）。（7）《关于推动解决政府采购异常低价问题的通知》（财库〔2026〕2号）。（8）其他需要落实的政府采购政策（如有最新颁布的政府采购政策，按最新的文件执行）。 2、中标（成交）供应商（人）领取中标（成交）通知书时，提交胶装纸质响应文件贰份，内容和通过电子化交易平台实施的政府采购项目提交的响应文件内容一致。 3、各投标人应根据“陕西省财政厅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承诺书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承诺书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具有独立承担民事责任能力的法人、其他组织或自然人，提供合法有效的统一社会信用代码营业执照（事业单位提供事业单位法人证书，其他组织经营的合法凭证，自然人提供身份证明）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报告，须有专属验证码（二维码）（财务报告中至少包括资产负债表、利润表，成立时间至提交投标文件截止时间不足一年的可提供成立后任意时段的资产负债表），或其开标前三个月内基本开户银行出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自2025年2月1日以来已缴存的至少一个月的社会保障资金缴存单据（缴费种类至少包括养老保险）或社保机构开具的社会保险参保缴费情况证明或提供其它相关证明资料，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提供自2025年2月1日以来已缴纳的至少一个月的缴税凭证（税种为增值税或企业所得税），凭证应有税务机关或代收机关的公章或业务专用章。依法免税或无须缴纳税收的投标人应提供相应证明文件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未被列入《信用中国》（https：//www.creditchina.gov.cn）“重大税收违法失信主体”名单和“失信被执行人”（页面跳转至《中国执行信息公开网》http：//zxgk.court.gov.cn/shixin）及不处于《中国政府采购网》（http：//www.ccgp.gov.cn）记录的“政府采购严重违法失信行为记录名单”中的禁止参加政府采购活动期间，提供书面承诺</w:t>
            </w:r>
          </w:p>
        </w:tc>
        <w:tc>
          <w:tcPr>
            <w:tcW w:type="dxa" w:w="1661"/>
          </w:tcPr>
          <w:p>
            <w:pPr>
              <w:pStyle w:val="null3"/>
            </w:pPr>
            <w:r>
              <w:rPr>
                <w:rFonts w:ascii="仿宋_GB2312" w:hAnsi="仿宋_GB2312" w:cs="仿宋_GB2312" w:eastAsia="仿宋_GB2312"/>
              </w:rPr>
              <w:t>承诺书 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承诺书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提供书面声明，包括声明具有履行合同所必需的设备和专业技术能力；参加政府采购活动前三年内在经营活动中没有重大违法记录</w:t>
            </w:r>
          </w:p>
        </w:tc>
        <w:tc>
          <w:tcPr>
            <w:tcW w:type="dxa" w:w="1661"/>
          </w:tcPr>
          <w:p>
            <w:pPr>
              <w:pStyle w:val="null3"/>
            </w:pPr>
            <w:r>
              <w:rPr>
                <w:rFonts w:ascii="仿宋_GB2312" w:hAnsi="仿宋_GB2312" w:cs="仿宋_GB2312" w:eastAsia="仿宋_GB2312"/>
              </w:rPr>
              <w:t>承诺书 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法定代表人（单位负责人）授权委托书</w:t>
            </w:r>
          </w:p>
        </w:tc>
        <w:tc>
          <w:tcPr>
            <w:tcW w:type="dxa" w:w="3322"/>
          </w:tcPr>
          <w:p>
            <w:pPr>
              <w:pStyle w:val="null3"/>
            </w:pPr>
            <w:r>
              <w:rPr>
                <w:rFonts w:ascii="仿宋_GB2312" w:hAnsi="仿宋_GB2312" w:cs="仿宋_GB2312" w:eastAsia="仿宋_GB2312"/>
              </w:rPr>
              <w:t>法定代表人（单位负责人）授权书及被授权人身份证复印件或扫描件（法定代表人参加只需提供法定代表人（单位负责人）身份证明）（注：被授权人需提供2025年6月至响应文件提交截止时间至少连续三个月的社保缴纳证明）</w:t>
            </w:r>
          </w:p>
        </w:tc>
        <w:tc>
          <w:tcPr>
            <w:tcW w:type="dxa" w:w="1661"/>
          </w:tcPr>
          <w:p>
            <w:pPr>
              <w:pStyle w:val="null3"/>
            </w:pPr>
            <w:r>
              <w:rPr>
                <w:rFonts w:ascii="仿宋_GB2312" w:hAnsi="仿宋_GB2312" w:cs="仿宋_GB2312" w:eastAsia="仿宋_GB2312"/>
              </w:rPr>
              <w:t>法定代表人（单位负责人）授权委托书 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1.政府采购评审中出现下列情形之一的，评标委员会应当启动异常低价投标（响应）审查程序：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相关法律法规对供应商报价有规定的，从其规定。 2.评标委员会启动异常低价投标（响应）审查后，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证明材料，应当加盖供应商（法定名称）公章或电子印章，在评标委员会要求的时间内通过项目电子化交易系统进行提交，否则提交的相关证明材料无效。供应商不能证明其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首次提交的投标文件有下列情况之一，其投标文件无效，评标委员会应写明无效理由。(1)投标文件中未按照招标文件规定要求签署、盖章的；(2)投标有效期不足的或无有效期的；(3)投标报价超过招标文件中规定的采购预算或最高限价或标的金额的；(4)不满足招标文件中实质性条款要求的；(5)投标文件含有采购人不能接受的附加条件的或其他情形；（6）法律、规章、规范性文件和招标文件规定的其他无效情形。</w:t>
            </w:r>
          </w:p>
        </w:tc>
        <w:tc>
          <w:tcPr>
            <w:tcW w:type="dxa" w:w="1661"/>
          </w:tcPr>
          <w:p>
            <w:pPr>
              <w:pStyle w:val="null3"/>
            </w:pPr>
            <w:r>
              <w:rPr>
                <w:rFonts w:ascii="仿宋_GB2312" w:hAnsi="仿宋_GB2312" w:cs="仿宋_GB2312" w:eastAsia="仿宋_GB2312"/>
              </w:rPr>
              <w:t>开标一览表 中小企业声明函 商务应答表 承诺书 投标人应提交的相关资格证明材料 产品技术参数表 参考格式 投标函 残疾人福利性单位声明函 标的清单 关于符合本国产品标准的声明函 投标文件封面 法定代表人（单位负责人）授权委托书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完全符合、响应技术参数与性能指标的每一项要求，没有负偏差计30分；其响应技术参数与性能指标出现主要技术参数（▲号条款）负偏差的，每项扣除3分，其响应技术参数与性能指标出现非主要技术参数（非▲号条款）负偏差的，每项扣除1.5分，扣完为止。 注：投标人需提供相关的技术、功能的证明材料（可提供生产厂家确认的、相应的功能证明材料,包括但不限于权威机构出具的检验报告或说明书或技术白皮书或官网和功能截图等）予以佐证，无法提供佐证的参数按负偏差扣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参考格式</w:t>
            </w:r>
          </w:p>
        </w:tc>
      </w:tr>
      <w:tr>
        <w:tc>
          <w:tcPr>
            <w:tcW w:type="dxa" w:w="831"/>
            <w:vMerge/>
          </w:tcPr>
          <w:p/>
        </w:tc>
        <w:tc>
          <w:tcPr>
            <w:tcW w:type="dxa" w:w="1661"/>
          </w:tcPr>
          <w:p>
            <w:pPr>
              <w:pStyle w:val="null3"/>
            </w:pPr>
            <w:r>
              <w:rPr>
                <w:rFonts w:ascii="仿宋_GB2312" w:hAnsi="仿宋_GB2312" w:cs="仿宋_GB2312" w:eastAsia="仿宋_GB2312"/>
              </w:rPr>
              <w:t>实施方案及验收方案</w:t>
            </w:r>
          </w:p>
        </w:tc>
        <w:tc>
          <w:tcPr>
            <w:tcW w:type="dxa" w:w="2492"/>
          </w:tcPr>
          <w:p>
            <w:pPr>
              <w:pStyle w:val="null3"/>
            </w:pPr>
            <w:r>
              <w:rPr>
                <w:rFonts w:ascii="仿宋_GB2312" w:hAnsi="仿宋_GB2312" w:cs="仿宋_GB2312" w:eastAsia="仿宋_GB2312"/>
              </w:rPr>
              <w:t>根据投标人提供的实施方案及验收方案是否合理科学及措施得当，是否针对本项目实施提出重点、难点并给出相应的解决方案，包括但不限于进度计划、供货组织、人员配置、分工明细、配送保障、安装调试、验收方案的描述情况进行赋分，并保证采购人能够按期正常使用。 评审标准：（1）方案详细、完整，能高质量的满足项目及采购人要求，确保项目服务质量，得12分；（2）方案较详细、较完整，能满足项目及采购人要求，保证项目质量，得10分；（3）方案相对完整、可行，能基本满足项目及采购人要求，保证项目质量，得8分；（4）方案基本完整、可行，基本保证项目质量，得6分；（5）方案较简单，得4分；（6）方案简略，可行性存在不足，得1分；（7）未提供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参考格式</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根据投标人提供的质量保障方案描述情况进行赋分，包括但不限于质量保证计划、供货质量保障措施、质量保障制度等方案。 评审标准：（1）方案详细、完整，能高质量的满足项目及采购人要求，确保项目服务质量，得6分；（2）方案较详细、较完整，能满足项目及采购人要求，保证项目质量，得5分；（3）方案相对完整、可行，能基本满足项目及采购人要求，保证项目质量，得4分；（4）方案基本完整、可行，基本保证项目质量，得3分；（5）方案较简单，得2分；（6）方案简略，可行性存在不足，得1分；（7）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参考格式</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提供所投核心产品合法来源渠道证明文件（包括但不限于销售协议、代理协议、原厂授权等），证明材料完整，链条清晰，产品提供齐全计5分，证明材料不完整或提供不齐全、未提供的不计分。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参考格式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提供2022年1月1日至今的核心产品业绩证明资料，每提供1份得1分，最高得5分。注：业绩证明资料以合同签订日期为准，合同复印件或扫描件为有效业绩证明资料。</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参考格式</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具有可行的技术培训方案，方案包括但不限于培训计划、培训对象、培训内容、培训方式和培训目标等。 评审标准：（1）方案详细、完整，能高质量的满足项目及采购人要求，确保项目服务质量，得6分；（2）方案较详细、较完整，能满足项目及采购人要求，保证项目质量，得5分；（3）方案相对完整、可行，能基本满足项目及采购人要求，保证项目质量，得4分；（4）方案基本完整、可行，基本保证项目质量，得3分；（5）方案较简单，得2分；（6）方案简略，可行性存在不足，得1分；（7）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参考格式</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具有详细可行的售后服务方案及售后服务承诺，包括但不限于所投设备在质保期内及质保期外的售后服务、售后服务人员安排、故障响应与补救等。 评审标准：（1）方案详细、完整，能高质量的满足项目及采购人要求，确保项目服务质量，得6分；（2）方案较详细、较完整，能满足项目及采购人要求，保证项目质量，得5分；（3）方案相对完整、可行，能基本满足项目及采购人要求，保证项目质量，得4分；（4）方案基本完整、可行，基本保证项目质量，得3分；（5）方案较简单，得2分；（6）方案简略，可行性存在不足，得1分；（7）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参考格式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即满足招标文件要求且投标价格最 低的投标报价为评标基准价，其价格分为满分。其他供应商的价格分统一按照下列公式计算：投标报价 得分=(评标基准价／投标报价)×30。计算分数时四舍五入取小数点后两位。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投标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详见附件：法定代表人（单位负责人）授权委托书</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详见附件：参考格式</w:t>
      </w:r>
    </w:p>
    <w:p>
      <w:pPr>
        <w:pStyle w:val="null3"/>
        <w:ind w:firstLine="960"/>
      </w:pPr>
      <w:r>
        <w:rPr>
          <w:rFonts w:ascii="仿宋_GB2312" w:hAnsi="仿宋_GB2312" w:cs="仿宋_GB2312" w:eastAsia="仿宋_GB2312"/>
        </w:rPr>
        <w:t>详见附件：关于符合本国产品标准的声明函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详见附件：合同条款及格式.docx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