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218224">
      <w:pPr>
        <w:spacing w:line="360" w:lineRule="auto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1.招标内容</w:t>
      </w:r>
    </w:p>
    <w:tbl>
      <w:tblPr>
        <w:tblStyle w:val="2"/>
        <w:tblW w:w="9259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1233"/>
        <w:gridCol w:w="783"/>
        <w:gridCol w:w="6536"/>
      </w:tblGrid>
      <w:tr w14:paraId="74B510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707" w:type="dxa"/>
            <w:vAlign w:val="center"/>
          </w:tcPr>
          <w:p w14:paraId="0C49D2FD">
            <w:pPr>
              <w:pStyle w:val="4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1233" w:type="dxa"/>
            <w:vAlign w:val="center"/>
          </w:tcPr>
          <w:p w14:paraId="2772F8A2">
            <w:pPr>
              <w:pStyle w:val="4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  <w:t>服务内容</w:t>
            </w:r>
          </w:p>
        </w:tc>
        <w:tc>
          <w:tcPr>
            <w:tcW w:w="783" w:type="dxa"/>
            <w:vAlign w:val="center"/>
          </w:tcPr>
          <w:p w14:paraId="3C805ECD">
            <w:pPr>
              <w:pStyle w:val="4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  <w:t>数量</w:t>
            </w:r>
          </w:p>
        </w:tc>
        <w:tc>
          <w:tcPr>
            <w:tcW w:w="6536" w:type="dxa"/>
            <w:vAlign w:val="center"/>
          </w:tcPr>
          <w:p w14:paraId="7D0913C0">
            <w:pPr>
              <w:pStyle w:val="4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  <w:t xml:space="preserve"> 技术参数与性能指标</w:t>
            </w:r>
          </w:p>
        </w:tc>
      </w:tr>
      <w:tr w14:paraId="0B3B6E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07" w:type="dxa"/>
            <w:vAlign w:val="center"/>
          </w:tcPr>
          <w:p w14:paraId="59FFB325">
            <w:pPr>
              <w:pStyle w:val="4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233" w:type="dxa"/>
            <w:vAlign w:val="center"/>
          </w:tcPr>
          <w:p w14:paraId="2C05FE18">
            <w:pPr>
              <w:pStyle w:val="4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非遗展示系统</w:t>
            </w:r>
          </w:p>
        </w:tc>
        <w:tc>
          <w:tcPr>
            <w:tcW w:w="783" w:type="dxa"/>
            <w:vAlign w:val="center"/>
          </w:tcPr>
          <w:p w14:paraId="791E9BA9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7</w:t>
            </w:r>
          </w:p>
        </w:tc>
        <w:tc>
          <w:tcPr>
            <w:tcW w:w="6536" w:type="dxa"/>
            <w:shd w:val="clear" w:color="auto" w:fill="auto"/>
            <w:vAlign w:val="center"/>
          </w:tcPr>
          <w:p w14:paraId="70677971">
            <w:pPr>
              <w:pStyle w:val="4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" w:bidi="ar-SA"/>
              </w:rPr>
              <w:t>专用展示设备，可嵌入传统鼓乐、剪纸展厅、陕西快书、兴平曲子、礼泉皮影、弦板腔等咸阳本土非遗资源的视频、图片、文字资料；支持屏幕触摸控制模块，支持观众通过触摸操作自主点播非遗内容，8K视频处理能力可高清呈现非遗表演、制作过程等细节；多套设备分区域部署，实现不同非遗项目的分类展示，满足批量观众同时浏览需求，完成设备调试与内容初始化部署。达到国家相关行业合格标准。</w:t>
            </w:r>
          </w:p>
        </w:tc>
      </w:tr>
      <w:tr w14:paraId="30435C2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07" w:type="dxa"/>
            <w:vAlign w:val="center"/>
          </w:tcPr>
          <w:p w14:paraId="0C3A9173">
            <w:pPr>
              <w:pStyle w:val="4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1233" w:type="dxa"/>
            <w:vAlign w:val="center"/>
          </w:tcPr>
          <w:p w14:paraId="7B658272">
            <w:pPr>
              <w:pStyle w:val="4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非遗互动展示系统</w:t>
            </w:r>
          </w:p>
        </w:tc>
        <w:tc>
          <w:tcPr>
            <w:tcW w:w="783" w:type="dxa"/>
            <w:vAlign w:val="center"/>
          </w:tcPr>
          <w:p w14:paraId="14134C1F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6536" w:type="dxa"/>
            <w:vAlign w:val="center"/>
          </w:tcPr>
          <w:p w14:paraId="68103AC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互动展示设备，集成红外感应模块、多媒体处理单元与触摸控制终端；搭建动作识别算法模型，开发内容切换、画面缩放、文化索引查询等操作程序；预留后台管理接口，便于后续更新文化主题与非遗内容。观众通过肢体动作触发互动，无需接触设备即可完成非遗内容浏览、细节放大、相关知识查询等操作；管理员可通过后台自主替换非遗展示主题、补充更新内容资源，适配不同展览需求，符合国家相关行业合格标准。</w:t>
            </w:r>
          </w:p>
        </w:tc>
      </w:tr>
      <w:tr w14:paraId="22FCB7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07" w:type="dxa"/>
            <w:vAlign w:val="center"/>
          </w:tcPr>
          <w:p w14:paraId="1FCC1CEB">
            <w:pPr>
              <w:pStyle w:val="4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1233" w:type="dxa"/>
            <w:vAlign w:val="center"/>
          </w:tcPr>
          <w:p w14:paraId="46C5DA79">
            <w:pPr>
              <w:pStyle w:val="4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非遗投影展示系统</w:t>
            </w:r>
          </w:p>
        </w:tc>
        <w:tc>
          <w:tcPr>
            <w:tcW w:w="783" w:type="dxa"/>
            <w:vAlign w:val="center"/>
          </w:tcPr>
          <w:p w14:paraId="52823479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6536" w:type="dxa"/>
            <w:vAlign w:val="center"/>
          </w:tcPr>
          <w:p w14:paraId="42266E66">
            <w:pPr>
              <w:pStyle w:val="4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非遗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"/>
              </w:rPr>
              <w:t>投影展示设备，搭载日亚高效蓝色激光光源；校准设备色彩参数，优化画面分辨率与亮度调节功能；适配场馆不同光线环境，完成设备安装调试与非遗内容适配。设备长时间稳定运行无需频繁更换光源，高清晰度与广色域特性可精准还原戏曲服饰的纹样色彩、脸谱的细节纹理等非遗元素；适配展厅明暗不同的光线条件，达到国家相关行业合格标准。</w:t>
            </w:r>
          </w:p>
          <w:p w14:paraId="1260552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3143F4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07" w:type="dxa"/>
            <w:vAlign w:val="center"/>
          </w:tcPr>
          <w:p w14:paraId="1C75A701">
            <w:pPr>
              <w:pStyle w:val="4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1233" w:type="dxa"/>
            <w:vAlign w:val="center"/>
          </w:tcPr>
          <w:p w14:paraId="45AA99A7">
            <w:pPr>
              <w:pStyle w:val="4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" w:bidi="ar-SA"/>
              </w:rPr>
              <w:t>可视化系统检修、电力改造与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"/>
              </w:rPr>
              <w:t>智能控制</w:t>
            </w:r>
          </w:p>
        </w:tc>
        <w:tc>
          <w:tcPr>
            <w:tcW w:w="783" w:type="dxa"/>
            <w:vAlign w:val="center"/>
          </w:tcPr>
          <w:p w14:paraId="6ED454ED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6536" w:type="dxa"/>
            <w:vAlign w:val="center"/>
          </w:tcPr>
          <w:p w14:paraId="27302B48">
            <w:pPr>
              <w:pStyle w:val="4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提供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"/>
              </w:rPr>
              <w:t>全面检测现有可视化大屏的硬件故障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"/>
              </w:rPr>
              <w:t>，更换损坏屏幕部件与失效工作站；对场馆数字化系统的电力线路进行全面排查改造，更换老化线路、增设安全保护装置；搭建“硬件+软件”协同控制架构，安装分屏控制模块与手持终端控制程序，完成系统联调测试。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对系统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"/>
              </w:rPr>
              <w:t>电力系统改造后消除安全隐患，保障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可视化大屏硬件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"/>
              </w:rPr>
              <w:t>设备稳定供电；新增分屏控制功能可同时展示多个非遗主题内容，手持终端实现远程便捷操作，提升场馆运营管理效率。</w:t>
            </w:r>
          </w:p>
          <w:p w14:paraId="66B36F3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4FF059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6" w:hRule="atLeast"/>
        </w:trPr>
        <w:tc>
          <w:tcPr>
            <w:tcW w:w="707" w:type="dxa"/>
            <w:vAlign w:val="center"/>
          </w:tcPr>
          <w:p w14:paraId="262596E1">
            <w:pPr>
              <w:pStyle w:val="4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1233" w:type="dxa"/>
            <w:vAlign w:val="center"/>
          </w:tcPr>
          <w:p w14:paraId="4586B076">
            <w:pPr>
              <w:pStyle w:val="4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"/>
              </w:rPr>
              <w:t>非遗剪纸互动体验智能系统</w:t>
            </w:r>
          </w:p>
        </w:tc>
        <w:tc>
          <w:tcPr>
            <w:tcW w:w="783" w:type="dxa"/>
            <w:vAlign w:val="center"/>
          </w:tcPr>
          <w:p w14:paraId="6D604CCB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6536" w:type="dxa"/>
            <w:vAlign w:val="center"/>
          </w:tcPr>
          <w:p w14:paraId="6AF8090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"/>
                <w:woUserID w:val="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"/>
                <w:woUserID w:val="1"/>
              </w:rPr>
              <w:t>采购人协助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  <w:woUserID w:val="1"/>
              </w:rPr>
              <w:t>成交供应商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"/>
                <w:woUserID w:val="1"/>
              </w:rPr>
              <w:t>整理库淑兰剪纸的作品资源、创作技法、文化内涵等信息，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  <w:woUserID w:val="1"/>
              </w:rPr>
              <w:t>成交供应商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"/>
                <w:woUserID w:val="1"/>
              </w:rPr>
              <w:t>负责构建标准化知识图谱;开发语音识别模块与触摸交互程序，优化关键词检索算法;搭建用户交互界面，整合作品查询、技法展示、文化解读等功能模块并完成调试。观众可通过语音对话或触摸操作两种方式，快速检索特定主题、元素或风格的库淑兰剪纸作品;系统同步呈现作品背景、创作故事、技法要点等信息，让观众深度了解剪纸非遗文化，增强体验的互动性与知识性。AI剪纸系统识别准确率≥95%、响应时间≤1秒，支持≥N个用户同时进行语音/触控交互，系统负载能力保持稳定，知识图谱覆盖库淑兰剪纸作品≥500件，操作流程点击路径≤3步即可触达核心展品信息，平均无故障工作时间 (MTBF) ≥200小时。</w:t>
            </w:r>
          </w:p>
          <w:p w14:paraId="534103F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180402D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07" w:type="dxa"/>
            <w:vAlign w:val="center"/>
          </w:tcPr>
          <w:p w14:paraId="37C13A60">
            <w:pPr>
              <w:pStyle w:val="4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1233" w:type="dxa"/>
            <w:vAlign w:val="center"/>
          </w:tcPr>
          <w:p w14:paraId="3F66D5A8">
            <w:pPr>
              <w:pStyle w:val="4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"/>
              </w:rPr>
              <w:t>灯山会非遗互动体验智能系统</w:t>
            </w:r>
          </w:p>
        </w:tc>
        <w:tc>
          <w:tcPr>
            <w:tcW w:w="783" w:type="dxa"/>
            <w:vAlign w:val="center"/>
          </w:tcPr>
          <w:p w14:paraId="7FC1B0BD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6536" w:type="dxa"/>
            <w:vAlign w:val="center"/>
          </w:tcPr>
          <w:p w14:paraId="5D295196">
            <w:pPr>
              <w:pStyle w:val="4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"/>
              </w:rPr>
              <w:t>采集彬州灯山会的历史影像、民俗场景、制作工艺等数字化资源，通过光电技术构建场景化投放内容；安装动作感应采集设备，开发互动响应程序，实现观众动作与投放内容的实时联动；还原彬州灯山会的民俗场景与热闹氛围，观众通过肢体动作可触发灯光变化、场景切换等互动效果，沉浸式体验灯山会的非遗特色；直观展现灯山会的制作流程与文化寓意，推动这一非遗项目的活态传承。</w:t>
            </w:r>
          </w:p>
          <w:p w14:paraId="05AB3F9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"/>
              </w:rPr>
              <w:t>完成场景搭建、设备安装与互动效果调试。</w:t>
            </w:r>
          </w:p>
        </w:tc>
      </w:tr>
    </w:tbl>
    <w:p w14:paraId="48F6FE6D">
      <w:pPr>
        <w:spacing w:line="360" w:lineRule="auto"/>
        <w:rPr>
          <w:rFonts w:hint="eastAsia" w:ascii="宋体" w:hAnsi="宋体" w:eastAsia="宋体" w:cs="宋体"/>
          <w:b/>
          <w:bCs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2.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验收标准和方法</w:t>
      </w:r>
    </w:p>
    <w:p w14:paraId="79834C24"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lang w:eastAsia="zh-CN"/>
        </w:rPr>
        <w:t>）</w:t>
      </w:r>
      <w:r>
        <w:rPr>
          <w:rFonts w:hint="eastAsia" w:ascii="宋体" w:hAnsi="宋体" w:eastAsia="宋体" w:cs="宋体"/>
          <w:sz w:val="24"/>
        </w:rPr>
        <w:t>硬件验收：设备到货后开箱检验，核对品牌、型号、参数，通电测试 72 小时无故障；</w:t>
      </w:r>
    </w:p>
    <w:p w14:paraId="2FDD471D"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lang w:eastAsia="zh-CN"/>
        </w:rPr>
        <w:t>）</w:t>
      </w:r>
      <w:r>
        <w:rPr>
          <w:rFonts w:hint="eastAsia" w:ascii="宋体" w:hAnsi="宋体" w:eastAsia="宋体" w:cs="宋体"/>
          <w:sz w:val="24"/>
        </w:rPr>
        <w:t>软件验收：完成开发部署后，进行功能测试、性能测试、压力测试，试运行 1 个月无重大问题；</w:t>
      </w:r>
    </w:p>
    <w:p w14:paraId="1EEBFC2B">
      <w:pPr>
        <w:spacing w:line="360" w:lineRule="auto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lang w:val="en-US" w:eastAsia="zh"/>
        </w:rPr>
        <w:t>可视化系统检修、电力改造与智能控制</w:t>
      </w:r>
      <w:r>
        <w:rPr>
          <w:rFonts w:hint="eastAsia" w:ascii="宋体" w:hAnsi="宋体" w:eastAsia="宋体" w:cs="宋体"/>
          <w:sz w:val="24"/>
        </w:rPr>
        <w:t>验收：电力改造工程需符合 GB 50168 国家标准</w:t>
      </w:r>
      <w:r>
        <w:rPr>
          <w:rFonts w:hint="eastAsia" w:ascii="宋体" w:hAnsi="宋体" w:eastAsia="宋体" w:cs="宋体"/>
          <w:sz w:val="24"/>
          <w:lang w:eastAsia="zh-CN"/>
        </w:rPr>
        <w:t>。</w:t>
      </w:r>
    </w:p>
    <w:p w14:paraId="6A93B2A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A97E12"/>
    <w:rsid w:val="09A97E12"/>
    <w:rsid w:val="0DFC545B"/>
    <w:rsid w:val="44DC50C3"/>
    <w:rsid w:val="55BD684B"/>
    <w:rsid w:val="6749577F"/>
    <w:rsid w:val="6D417909"/>
    <w:rsid w:val="76E26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2026-06-09T08:29:00Z</dcterms:created>
  <dc:creator>国创招标</dc:creator>
  <cp:lastModifiedBy>国创招标</cp:lastModifiedBy>
  <dcterms:modified xsi:type="dcterms:W3CDTF">2026-06-09T08:32:07Z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F335611FB77247E8BE0A6977F8ED22B6_11</vt:lpwstr>
  </property>
  <property fmtid="{D5CDD505-2E9C-101B-9397-08002B2CF9AE}" pid="4" name="KSOTemplateDocerSaveRecord">
    <vt:lpwstr>eyJoZGlkIjoiN2Q1ZTU0ZDdkN2MxZjY1NWFiOTI3MTM4NjgwY2VkOWYiLCJ1c2VySWQiOiIxMTQ2NDU0OTA0In0=</vt:lpwstr>
  </property>
</Properties>
</file>