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B66E81">
      <w:pPr>
        <w:pStyle w:val="3"/>
        <w:numPr>
          <w:ilvl w:val="0"/>
          <w:numId w:val="0"/>
        </w:numPr>
        <w:bidi w:val="0"/>
        <w:jc w:val="center"/>
        <w:rPr>
          <w:rFonts w:hint="default"/>
        </w:rPr>
      </w:pPr>
      <w:r>
        <w:rPr>
          <w:rFonts w:hint="eastAsia"/>
          <w:lang w:eastAsia="zh-CN"/>
        </w:rPr>
        <w:t>乡村振兴产业规划</w:t>
      </w:r>
      <w:r>
        <w:rPr>
          <w:rFonts w:hint="default"/>
        </w:rPr>
        <w:t>设计任务书</w:t>
      </w:r>
    </w:p>
    <w:p w14:paraId="20D9EF67">
      <w:pPr>
        <w:pStyle w:val="4"/>
        <w:numPr>
          <w:ilvl w:val="1"/>
          <w:numId w:val="0"/>
        </w:numPr>
        <w:bidi w:val="0"/>
        <w:ind w:leftChars="0"/>
        <w:rPr>
          <w:rFonts w:hint="default"/>
        </w:rPr>
      </w:pPr>
      <w:r>
        <w:rPr>
          <w:rFonts w:hint="eastAsia"/>
          <w:lang w:eastAsia="zh-CN"/>
        </w:rPr>
        <w:t>一、</w:t>
      </w:r>
      <w:r>
        <w:rPr>
          <w:rFonts w:hint="default"/>
        </w:rPr>
        <w:t>规划要求</w:t>
      </w:r>
    </w:p>
    <w:p w14:paraId="71CCE3D3">
      <w:pPr>
        <w:spacing w:before="100" w:beforeAutospacing="0" w:after="100" w:afterAutospacing="0" w:line="240" w:lineRule="auto"/>
        <w:ind w:left="420" w:leftChars="200" w:right="420" w:rightChars="200" w:firstLine="480" w:firstLineChars="2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投标人需严格按照以下空间功能划分进行平面布局优化及深化设计：</w:t>
      </w:r>
    </w:p>
    <w:p w14:paraId="187284BC">
      <w:pPr>
        <w:pStyle w:val="5"/>
        <w:bidi w:val="0"/>
        <w:rPr>
          <w:rFonts w:hint="default"/>
        </w:rPr>
      </w:pPr>
      <w:r>
        <w:rPr>
          <w:rFonts w:hint="default"/>
        </w:rPr>
        <w:t>一层功能区（公共服务与政务接待区）</w:t>
      </w:r>
    </w:p>
    <w:p w14:paraId="1C3B0CF6">
      <w:pPr>
        <w:spacing w:before="100" w:beforeAutospacing="0" w:after="100" w:afterAutospacing="0" w:line="240" w:lineRule="auto"/>
        <w:ind w:left="420" w:leftChars="200" w:right="420" w:rightChars="200" w:firstLine="480" w:firstLineChars="2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本层侧重于政务服务、市民互动及便民功能，需营造开放、亲民、高效的公共空间氛围。</w:t>
      </w:r>
    </w:p>
    <w:p w14:paraId="3BDAE266">
      <w:pPr>
        <w:numPr>
          <w:ilvl w:val="0"/>
          <w:numId w:val="2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前台展示区：包含前厅、沙盘区、共享书吧、水吧台。</w:t>
      </w:r>
    </w:p>
    <w:p w14:paraId="69A9D8A4">
      <w:pPr>
        <w:numPr>
          <w:ilvl w:val="0"/>
          <w:numId w:val="2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政务服务区：包含便民服务大厅、窗口办事处、独立办公室、档案室。</w:t>
      </w:r>
    </w:p>
    <w:p w14:paraId="3BEF761F">
      <w:pPr>
        <w:numPr>
          <w:ilvl w:val="0"/>
          <w:numId w:val="2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会议交流区：包含会议室/多功能室、调解室、信访接待室。</w:t>
      </w:r>
    </w:p>
    <w:p w14:paraId="484E12DD">
      <w:pPr>
        <w:numPr>
          <w:ilvl w:val="0"/>
          <w:numId w:val="2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群众活动区：包含老年活动中心、舞蹈室、阅览室、儿童之家。</w:t>
      </w:r>
    </w:p>
    <w:p w14:paraId="6D66B2CC">
      <w:pPr>
        <w:numPr>
          <w:ilvl w:val="0"/>
          <w:numId w:val="2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基础配套：男卫生间、女卫生间、母婴室、杂物间。</w:t>
      </w:r>
    </w:p>
    <w:p w14:paraId="197F6708">
      <w:pPr>
        <w:pStyle w:val="5"/>
        <w:bidi w:val="0"/>
        <w:rPr>
          <w:rFonts w:hint="default"/>
        </w:rPr>
      </w:pPr>
      <w:r>
        <w:rPr>
          <w:rFonts w:hint="default"/>
        </w:rPr>
        <w:t>二层功能区（核心展厅与商务办公区）</w:t>
      </w:r>
    </w:p>
    <w:p w14:paraId="22B2238E">
      <w:pPr>
        <w:spacing w:before="100" w:beforeAutospacing="0" w:after="100" w:afterAutospacing="0" w:line="240" w:lineRule="auto"/>
        <w:ind w:left="420" w:leftChars="200" w:right="420" w:rightChars="200" w:firstLine="480" w:firstLineChars="2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本层为展厅的核心展示区域及内部办公区，需重点突出展陈效果与文化氛围。</w:t>
      </w:r>
    </w:p>
    <w:p w14:paraId="7E1FC43F">
      <w:pPr>
        <w:numPr>
          <w:ilvl w:val="0"/>
          <w:numId w:val="3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序厅与发布区：多媒体/发布区。</w:t>
      </w:r>
    </w:p>
    <w:p w14:paraId="1F9EACC4">
      <w:pPr>
        <w:numPr>
          <w:ilvl w:val="0"/>
          <w:numId w:val="3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核心展陈区：展厅01至展厅10（分别对应：时光隧道展厅、工业资源展厅、地域区位展厅、生态资源展厅、红色文化展厅、农业资源展厅、文旅资源展厅、延川文学专题、梁家河展厅、产品展厅）。</w:t>
      </w:r>
    </w:p>
    <w:p w14:paraId="61D5AD5F">
      <w:pPr>
        <w:numPr>
          <w:ilvl w:val="0"/>
          <w:numId w:val="3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新媒体与直播区：产品直播间。</w:t>
      </w:r>
    </w:p>
    <w:p w14:paraId="7BAF5B12">
      <w:pPr>
        <w:numPr>
          <w:ilvl w:val="0"/>
          <w:numId w:val="3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办公及配套：开放办公室、独立办公室（4间）、资料室、电梯厅、储物间、会议室、接待室、准备间、卫生间、男女更衣/卫浴区。</w:t>
      </w:r>
    </w:p>
    <w:p w14:paraId="79D76465">
      <w:pPr>
        <w:pStyle w:val="4"/>
        <w:numPr>
          <w:ilvl w:val="1"/>
          <w:numId w:val="0"/>
        </w:numPr>
        <w:bidi w:val="0"/>
        <w:ind w:leftChars="0"/>
        <w:rPr>
          <w:rFonts w:hint="default"/>
        </w:rPr>
      </w:pPr>
      <w:r>
        <w:rPr>
          <w:rFonts w:hint="eastAsia"/>
          <w:lang w:eastAsia="zh-CN"/>
        </w:rPr>
        <w:t>二、</w:t>
      </w:r>
      <w:r>
        <w:rPr>
          <w:rFonts w:hint="default"/>
        </w:rPr>
        <w:t>设计主题与理念要求</w:t>
      </w:r>
    </w:p>
    <w:p w14:paraId="1148DE95">
      <w:pPr>
        <w:spacing w:before="100" w:beforeAutospacing="0" w:after="100" w:afterAutospacing="0" w:line="240" w:lineRule="auto"/>
        <w:ind w:left="899" w:leftChars="428" w:right="420" w:rightChars="200" w:firstLine="0" w:firstLineChars="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eastAsia" w:ascii="Calibri" w:hAnsi="Calibri" w:eastAsia="宋体" w:cs="Calibri"/>
          <w:b/>
          <w:color w:val="000000"/>
          <w:sz w:val="24"/>
          <w:szCs w:val="24"/>
          <w:lang w:val="en-US" w:eastAsia="zh-CN"/>
        </w:rPr>
        <w:t>1、</w:t>
      </w:r>
      <w:r>
        <w:rPr>
          <w:rFonts w:hint="default" w:ascii="Calibri" w:hAnsi="Calibri" w:eastAsia="宋体" w:cs="Calibri"/>
          <w:b/>
          <w:color w:val="000000"/>
          <w:sz w:val="24"/>
          <w:szCs w:val="24"/>
        </w:rPr>
        <w:t>核心主题：</w:t>
      </w:r>
      <w:r>
        <w:rPr>
          <w:rFonts w:hint="default" w:ascii="Calibri" w:hAnsi="Calibri" w:eastAsia="宋体" w:cs="Calibri"/>
          <w:color w:val="000000"/>
          <w:sz w:val="24"/>
          <w:szCs w:val="24"/>
        </w:rPr>
        <w:t>乾坤湾</w:t>
      </w:r>
      <w:r>
        <w:rPr>
          <w:rFonts w:hint="default" w:ascii="Calibri" w:hAnsi="Calibri" w:eastAsia="宋体" w:cs="Calibri"/>
          <w:color w:val="000000"/>
          <w:sz w:val="24"/>
          <w:szCs w:val="24"/>
        </w:rPr>
        <w:br w:type="textWrapping"/>
      </w:r>
      <w:r>
        <w:rPr>
          <w:rFonts w:hint="eastAsia" w:ascii="Calibri" w:hAnsi="Calibri" w:eastAsia="宋体" w:cs="Calibri"/>
          <w:color w:val="000000"/>
          <w:sz w:val="24"/>
          <w:szCs w:val="24"/>
          <w:lang w:val="en-US" w:eastAsia="zh-CN"/>
        </w:rPr>
        <w:t>2、</w:t>
      </w:r>
      <w:r>
        <w:rPr>
          <w:rFonts w:hint="default" w:ascii="Calibri" w:hAnsi="Calibri" w:eastAsia="宋体" w:cs="Calibri"/>
          <w:b/>
          <w:color w:val="000000"/>
          <w:sz w:val="24"/>
          <w:szCs w:val="24"/>
        </w:rPr>
        <w:t>文化内核：</w:t>
      </w:r>
      <w:r>
        <w:rPr>
          <w:rFonts w:hint="default" w:ascii="Calibri" w:hAnsi="Calibri" w:eastAsia="宋体" w:cs="Calibri"/>
          <w:color w:val="000000"/>
          <w:sz w:val="24"/>
          <w:szCs w:val="24"/>
        </w:rPr>
        <w:t>延川文化（黄河文化、红色文化、历史文化、路遥文化）</w:t>
      </w:r>
    </w:p>
    <w:p w14:paraId="60BAFE0D">
      <w:pPr>
        <w:pStyle w:val="5"/>
        <w:bidi w:val="0"/>
        <w:rPr>
          <w:rFonts w:hint="default"/>
        </w:rPr>
      </w:pPr>
      <w:r>
        <w:rPr>
          <w:rFonts w:hint="default"/>
        </w:rPr>
        <w:t>设计立意</w:t>
      </w:r>
    </w:p>
    <w:p w14:paraId="16754091">
      <w:pPr>
        <w:spacing w:before="100" w:beforeAutospacing="0" w:afterAutospacing="0" w:line="240" w:lineRule="auto"/>
        <w:ind w:left="420" w:leftChars="200" w:right="420" w:rightChars="200" w:firstLine="480" w:firstLineChars="2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展厅设计需深度挖掘延川县的自然禀赋与文化底蕴。以“乾坤湾”这一世界级地质奇观为核心灵感来源，取其“S型”大转弯的磅礴气势与包容万象的哲学意象，寓意城市发展的历史轨迹与创业创新的无限可能。</w:t>
      </w:r>
    </w:p>
    <w:p w14:paraId="590D82D6">
      <w:pPr>
        <w:pStyle w:val="5"/>
        <w:bidi w:val="0"/>
        <w:rPr>
          <w:rFonts w:hint="default"/>
        </w:rPr>
      </w:pPr>
      <w:r>
        <w:rPr>
          <w:rFonts w:hint="default"/>
        </w:rPr>
        <w:t>文化元素深度融合要求</w:t>
      </w:r>
    </w:p>
    <w:p w14:paraId="38D8AF51">
      <w:pPr>
        <w:numPr>
          <w:ilvl w:val="0"/>
          <w:numId w:val="4"/>
        </w:numPr>
        <w:spacing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黄河文化（气势与根源）：空间线条可借鉴黄河蜿蜒流淌的动态曲线，运用流动的灯光与造型，展现黄河文明的源远流长与生生不息。</w:t>
      </w:r>
    </w:p>
    <w:p w14:paraId="73974AA9">
      <w:pPr>
        <w:numPr>
          <w:ilvl w:val="0"/>
          <w:numId w:val="4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红色文化（精神与传承）：在红色文化展厅及党建相关区域，需运用庄重、热烈的色彩与材质，结合革命历史图文，弘扬延川的红色基因。</w:t>
      </w:r>
    </w:p>
    <w:p w14:paraId="280D4E00">
      <w:pPr>
        <w:numPr>
          <w:ilvl w:val="0"/>
          <w:numId w:val="4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历史文化与路遥文化（底蕴与人文）：在延川文学专题及历史文化展区，设计需兼具陕北地域特色与现代人文气息，展现路遥等文学巨匠的精神世界与延川深厚的历史积淀。</w:t>
      </w:r>
    </w:p>
    <w:p w14:paraId="04DB2CA8">
      <w:pPr>
        <w:numPr>
          <w:ilvl w:val="0"/>
          <w:numId w:val="4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生态与产业资源（现状与发展）：通过现代化的多媒体技术与互动装置，直观展示延川的绿水青山、农业特产及工业资源，体现“绿水青山就是金山银山”的发展理念。</w:t>
      </w:r>
    </w:p>
    <w:p w14:paraId="58AD27AF">
      <w:pPr>
        <w:pStyle w:val="5"/>
        <w:bidi w:val="0"/>
        <w:rPr>
          <w:rFonts w:hint="default"/>
        </w:rPr>
      </w:pPr>
      <w:r>
        <w:rPr>
          <w:rFonts w:hint="default"/>
        </w:rPr>
        <w:t>设计风格与氛围</w:t>
      </w:r>
    </w:p>
    <w:p w14:paraId="1E1307F9">
      <w:pPr>
        <w:numPr>
          <w:ilvl w:val="0"/>
          <w:numId w:val="5"/>
        </w:numPr>
        <w:spacing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风格定位：现代简约、大气磅礴、富有科技感与艺术感染力。</w:t>
      </w:r>
    </w:p>
    <w:p w14:paraId="2D011D42">
      <w:pPr>
        <w:numPr>
          <w:ilvl w:val="0"/>
          <w:numId w:val="5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色彩基调：建议以黄河水的深蓝/青色、黄土高坡的土黄/赭石色为主色调，辅以红色文化点缀，整体色彩和谐统一，避免过于花哨。</w:t>
      </w:r>
    </w:p>
    <w:p w14:paraId="241D4E4A">
      <w:pPr>
        <w:numPr>
          <w:ilvl w:val="0"/>
          <w:numId w:val="5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材质选择：鼓励使用环保、耐用且具有质感的材料，可适当融入陕北传统建筑（如窑洞）的局部元素进行现代化转译。</w:t>
      </w:r>
    </w:p>
    <w:p w14:paraId="21B5A45E">
      <w:pPr>
        <w:pStyle w:val="4"/>
        <w:numPr>
          <w:ilvl w:val="1"/>
          <w:numId w:val="0"/>
        </w:numPr>
        <w:bidi w:val="0"/>
        <w:ind w:leftChars="0"/>
        <w:rPr>
          <w:rFonts w:hint="default"/>
        </w:rPr>
      </w:pPr>
      <w:r>
        <w:rPr>
          <w:rFonts w:hint="eastAsia"/>
          <w:lang w:eastAsia="zh-CN"/>
        </w:rPr>
        <w:t>三、设计成果</w:t>
      </w:r>
    </w:p>
    <w:p w14:paraId="0A0BF007">
      <w:pPr>
        <w:pStyle w:val="5"/>
        <w:numPr>
          <w:ilvl w:val="2"/>
          <w:numId w:val="0"/>
        </w:numPr>
        <w:bidi w:val="0"/>
        <w:ind w:left="400" w:leftChars="0"/>
        <w:rPr>
          <w:rFonts w:hint="default"/>
        </w:rPr>
      </w:pPr>
      <w:r>
        <w:rPr>
          <w:rFonts w:hint="eastAsia"/>
          <w:lang w:val="en-US" w:eastAsia="zh-CN"/>
        </w:rPr>
        <w:t>1、</w:t>
      </w:r>
      <w:r>
        <w:rPr>
          <w:rFonts w:hint="default"/>
        </w:rPr>
        <w:t>概念设计方案：</w:t>
      </w:r>
    </w:p>
    <w:p w14:paraId="257F7E50">
      <w:pPr>
        <w:numPr>
          <w:ilvl w:val="0"/>
          <w:numId w:val="4"/>
        </w:numPr>
        <w:spacing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设计理念阐述（如何结合“乾坤湾”与“延川文化”）。</w:t>
      </w:r>
    </w:p>
    <w:p w14:paraId="7F86AFD0">
      <w:pPr>
        <w:numPr>
          <w:ilvl w:val="0"/>
          <w:numId w:val="4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空间平面布置图（基于第一章功能需求进行优化）。</w:t>
      </w:r>
    </w:p>
    <w:p w14:paraId="08B2B6F7">
      <w:pPr>
        <w:numPr>
          <w:ilvl w:val="0"/>
          <w:numId w:val="4"/>
        </w:numPr>
        <w:spacing w:before="60" w:beforeAutospacing="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重点区域（前厅、核心展厅）的效果图（不少于</w:t>
      </w:r>
      <w:r>
        <w:rPr>
          <w:rFonts w:hint="eastAsia" w:ascii="Calibri" w:hAnsi="Calibri" w:eastAsia="宋体" w:cs="Calibri"/>
          <w:color w:val="000000"/>
          <w:sz w:val="24"/>
          <w:szCs w:val="24"/>
          <w:lang w:val="en-US" w:eastAsia="zh-CN"/>
        </w:rPr>
        <w:t>18</w:t>
      </w:r>
      <w:r>
        <w:rPr>
          <w:rFonts w:hint="default" w:ascii="Calibri" w:hAnsi="Calibri" w:eastAsia="宋体" w:cs="Calibri"/>
          <w:color w:val="000000"/>
          <w:sz w:val="24"/>
          <w:szCs w:val="24"/>
        </w:rPr>
        <w:t>张）。</w:t>
      </w:r>
    </w:p>
    <w:p w14:paraId="71DBE2FE">
      <w:pPr>
        <w:pStyle w:val="5"/>
        <w:numPr>
          <w:ilvl w:val="2"/>
          <w:numId w:val="0"/>
        </w:numPr>
        <w:bidi w:val="0"/>
        <w:ind w:left="400" w:leftChars="0"/>
        <w:rPr>
          <w:rFonts w:hint="default"/>
        </w:rPr>
      </w:pPr>
      <w:r>
        <w:rPr>
          <w:rFonts w:hint="eastAsia"/>
          <w:lang w:val="en-US" w:eastAsia="zh-CN"/>
        </w:rPr>
        <w:t>2、</w:t>
      </w:r>
      <w:r>
        <w:rPr>
          <w:rFonts w:hint="default"/>
        </w:rPr>
        <w:t>深化设计方案：</w:t>
      </w:r>
    </w:p>
    <w:p w14:paraId="3B5FA19B">
      <w:pPr>
        <w:numPr>
          <w:ilvl w:val="0"/>
          <w:numId w:val="4"/>
        </w:numPr>
        <w:spacing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详细的施工图（平面、立面、剖面）。</w:t>
      </w:r>
    </w:p>
    <w:p w14:paraId="3403770A">
      <w:pPr>
        <w:numPr>
          <w:ilvl w:val="0"/>
          <w:numId w:val="4"/>
        </w:numPr>
        <w:spacing w:before="60"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重点展项的节点大样图。</w:t>
      </w:r>
    </w:p>
    <w:p w14:paraId="01FB81E2">
      <w:pPr>
        <w:numPr>
          <w:ilvl w:val="0"/>
          <w:numId w:val="4"/>
        </w:numPr>
        <w:spacing w:before="60" w:beforeAutospacing="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电路图、弱电图及多媒体点位图。</w:t>
      </w:r>
    </w:p>
    <w:p w14:paraId="15EC8E35">
      <w:pPr>
        <w:pStyle w:val="5"/>
        <w:numPr>
          <w:ilvl w:val="2"/>
          <w:numId w:val="0"/>
        </w:numPr>
        <w:bidi w:val="0"/>
        <w:ind w:left="400" w:leftChars="0"/>
        <w:rPr>
          <w:rFonts w:hint="default"/>
        </w:rPr>
      </w:pPr>
      <w:r>
        <w:rPr>
          <w:rFonts w:hint="eastAsia"/>
          <w:lang w:val="en-US" w:eastAsia="zh-CN"/>
        </w:rPr>
        <w:t>3、</w:t>
      </w:r>
      <w:r>
        <w:rPr>
          <w:rFonts w:hint="default"/>
        </w:rPr>
        <w:t>材料样板：</w:t>
      </w:r>
    </w:p>
    <w:p w14:paraId="40396167">
      <w:pPr>
        <w:numPr>
          <w:ilvl w:val="0"/>
          <w:numId w:val="4"/>
        </w:numPr>
        <w:spacing w:beforeAutospacing="0" w:after="60" w:afterAutospacing="0" w:line="240" w:lineRule="auto"/>
        <w:ind w:left="840" w:leftChars="400" w:right="840" w:rightChars="400"/>
        <w:rPr>
          <w:rFonts w:hint="default" w:ascii="Calibri" w:hAnsi="Calibri" w:eastAsia="宋体" w:cs="Calibri"/>
          <w:color w:val="000000"/>
          <w:sz w:val="24"/>
          <w:szCs w:val="24"/>
        </w:rPr>
      </w:pPr>
      <w:r>
        <w:rPr>
          <w:rFonts w:hint="default" w:ascii="Calibri" w:hAnsi="Calibri" w:eastAsia="宋体" w:cs="Calibri"/>
          <w:color w:val="000000"/>
          <w:sz w:val="24"/>
          <w:szCs w:val="24"/>
        </w:rPr>
        <w:t>主要装饰材料及展陈材质的实物小样或高清图片说明。</w:t>
      </w:r>
    </w:p>
    <w:p w14:paraId="1F6A27BC">
      <w:pPr>
        <w:pStyle w:val="5"/>
        <w:numPr>
          <w:ilvl w:val="2"/>
          <w:numId w:val="0"/>
        </w:numPr>
        <w:bidi w:val="0"/>
        <w:ind w:left="400"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四、规划设计资质及履行期限：</w:t>
      </w:r>
    </w:p>
    <w:p w14:paraId="7790C0C5">
      <w:pPr>
        <w:bidi w:val="0"/>
        <w:ind w:left="0" w:leftChars="0" w:firstLine="480" w:firstLineChars="200"/>
        <w:rPr>
          <w:rFonts w:hint="eastAsia" w:ascii="宋体" w:hAnsi="宋体" w:eastAsia="宋体" w:cs="Times New Roman"/>
          <w:b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Calibri" w:hAnsi="Calibri" w:eastAsia="宋体" w:cs="Calibri"/>
          <w:b w:val="0"/>
          <w:color w:val="000000"/>
          <w:kern w:val="2"/>
          <w:sz w:val="24"/>
          <w:szCs w:val="24"/>
          <w:lang w:val="en-US" w:eastAsia="zh-CN" w:bidi="ar-SA"/>
        </w:rPr>
        <w:t>1、</w:t>
      </w:r>
      <w:r>
        <w:rPr>
          <w:rFonts w:hint="eastAsia" w:ascii="宋体" w:hAnsi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设计资质：</w:t>
      </w:r>
      <w:r>
        <w:rPr>
          <w:rFonts w:hint="eastAsia" w:ascii="宋体" w:hAnsi="宋体" w:cs="Times New Roman"/>
          <w:color w:val="auto"/>
          <w:sz w:val="28"/>
          <w:szCs w:val="28"/>
          <w:highlight w:val="none"/>
          <w:lang w:val="en-US" w:eastAsia="zh-CN"/>
        </w:rPr>
        <w:t>供应商须具备建筑工程设计甲级资质</w:t>
      </w:r>
      <w:bookmarkStart w:id="0" w:name="_GoBack"/>
      <w:bookmarkEnd w:id="0"/>
    </w:p>
    <w:p w14:paraId="360CCDEE">
      <w:pPr>
        <w:pStyle w:val="2"/>
        <w:ind w:left="0" w:leftChars="0" w:firstLine="562" w:firstLineChars="200"/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default" w:ascii="宋体" w:hAnsi="宋体" w:eastAsia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合同履行期限</w:t>
      </w:r>
      <w:r>
        <w:rPr>
          <w:rFonts w:hint="eastAsia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：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自合同签订之日起30个日历日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1D09D6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A8FF65"/>
    <w:multiLevelType w:val="singleLevel"/>
    <w:tmpl w:val="A7A8FF6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">
    <w:nsid w:val="CBF1D938"/>
    <w:multiLevelType w:val="singleLevel"/>
    <w:tmpl w:val="CBF1D93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2">
    <w:nsid w:val="FB8EDD0A"/>
    <w:multiLevelType w:val="multilevel"/>
    <w:tmpl w:val="FB8EDD0A"/>
    <w:lvl w:ilvl="0" w:tentative="0">
      <w:start w:val="1"/>
      <w:numFmt w:val="chineseCounting"/>
      <w:pStyle w:val="3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2" w:tentative="0">
      <w:start w:val="1"/>
      <w:numFmt w:val="decimal"/>
      <w:pStyle w:val="5"/>
      <w:suff w:val="nothing"/>
      <w:lvlText w:val="%3．"/>
      <w:lvlJc w:val="left"/>
      <w:pPr>
        <w:tabs>
          <w:tab w:val="left" w:pos="0"/>
        </w:tabs>
        <w:ind w:left="0" w:firstLine="400"/>
      </w:pPr>
      <w:rPr>
        <w:rFonts w:hint="eastAsia" w:ascii="黑体" w:hAnsi="黑体" w:eastAsia="黑体"/>
      </w:rPr>
    </w:lvl>
    <w:lvl w:ilvl="3" w:tentative="0">
      <w:start w:val="1"/>
      <w:numFmt w:val="decimal"/>
      <w:suff w:val="nothing"/>
      <w:lvlText w:val="（%4）"/>
      <w:lvlJc w:val="left"/>
      <w:pPr>
        <w:tabs>
          <w:tab w:val="left" w:pos="0"/>
        </w:tabs>
        <w:ind w:left="0" w:firstLine="402"/>
      </w:pPr>
      <w:rPr>
        <w:rFonts w:hint="eastAsia" w:ascii="黑体" w:hAnsi="黑体" w:eastAsia="黑体"/>
      </w:rPr>
    </w:lvl>
    <w:lvl w:ilvl="4" w:tentative="0">
      <w:start w:val="1"/>
      <w:numFmt w:val="decimalEnclosedCircleChinese"/>
      <w:suff w:val="nothing"/>
      <w:lvlText w:val="%5"/>
      <w:lvlJc w:val="left"/>
      <w:pPr>
        <w:tabs>
          <w:tab w:val="left" w:pos="0"/>
        </w:tabs>
        <w:ind w:left="0" w:firstLine="402"/>
      </w:pPr>
      <w:rPr>
        <w:rFonts w:hint="eastAsia" w:ascii="黑体" w:hAnsi="黑体" w:eastAsia="黑体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3">
    <w:nsid w:val="025E5023"/>
    <w:multiLevelType w:val="singleLevel"/>
    <w:tmpl w:val="025E502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4">
    <w:nsid w:val="08584610"/>
    <w:multiLevelType w:val="singleLevel"/>
    <w:tmpl w:val="0858461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7A2928"/>
    <w:rsid w:val="017A2928"/>
    <w:rsid w:val="6CFA4638"/>
    <w:rsid w:val="7B5625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next w:val="2"/>
    <w:qFormat/>
    <w:uiPriority w:val="0"/>
    <w:pPr>
      <w:keepNext/>
      <w:keepLines/>
      <w:numPr>
        <w:ilvl w:val="0"/>
        <w:numId w:val="1"/>
      </w:numPr>
      <w:spacing w:before="50" w:beforeLines="50" w:line="288" w:lineRule="auto"/>
      <w:outlineLvl w:val="0"/>
    </w:pPr>
    <w:rPr>
      <w:rFonts w:eastAsia="黑体" w:asciiTheme="majorEastAsia" w:hAnsiTheme="majorEastAsia" w:cstheme="minorBidi"/>
      <w:b/>
      <w:bCs/>
      <w:kern w:val="44"/>
      <w:sz w:val="44"/>
      <w:szCs w:val="18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1258</Words>
  <Characters>1262</Characters>
  <Lines>0</Lines>
  <Paragraphs>0</Paragraphs>
  <TotalTime>2</TotalTime>
  <ScaleCrop>false</ScaleCrop>
  <LinksUpToDate>false</LinksUpToDate>
  <CharactersWithSpaces>1262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2026-07-13T01:21:00Z</dcterms:created>
  <dc:creator>璀璨</dc:creator>
  <cp:lastModifiedBy>大力出奇迹</cp:lastModifiedBy>
  <dcterms:modified xsi:type="dcterms:W3CDTF">2026-07-20T03:09:30Z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2B5C7894D9F84EDF8B0D5BE043CC1F16_11</vt:lpwstr>
  </property>
  <property fmtid="{D5CDD505-2E9C-101B-9397-08002B2CF9AE}" pid="4" name="KSOTemplateDocerSaveRecord">
    <vt:lpwstr>eyJoZGlkIjoiOWZkOWUyN2Q3YTgzNjljYjEwZWM5Njg3Y2ViYjViZTgiLCJ1c2VySWQiOiIzNDQyNDkxMjgifQ==</vt:lpwstr>
  </property>
</Properties>
</file>