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版本号：SYCG-CS-26019-120260601001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职业技术教育中心综合高中教室及宿舍维修升级改造工程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SYCG-CS-26019-1</w:t>
      </w:r>
      <w:r>
        <w:br/>
      </w:r>
      <w:r>
        <w:br/>
      </w:r>
      <w:r>
        <w:br/>
      </w:r>
    </w:p>
    <w:p>
      <w:pPr>
        <w:pStyle w:val="null3"/>
        <w:jc w:val="center"/>
        <w:outlineLvl w:val="2"/>
      </w:pPr>
      <w:r>
        <w:rPr>
          <w:rFonts w:ascii="仿宋_GB2312" w:hAnsi="仿宋_GB2312" w:cs="仿宋_GB2312" w:eastAsia="仿宋_GB2312"/>
          <w:sz w:val="28"/>
          <w:b/>
        </w:rPr>
        <w:t>三原县职业技术教育中心</w:t>
      </w:r>
    </w:p>
    <w:p>
      <w:pPr>
        <w:pStyle w:val="null3"/>
        <w:jc w:val="center"/>
        <w:outlineLvl w:val="2"/>
      </w:pPr>
      <w:r>
        <w:rPr>
          <w:rFonts w:ascii="仿宋_GB2312" w:hAnsi="仿宋_GB2312" w:cs="仿宋_GB2312" w:eastAsia="仿宋_GB2312"/>
          <w:sz w:val="28"/>
          <w:b/>
        </w:rPr>
        <w:t>三原县政府采购中心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三原县政府采购中心</w:t>
      </w:r>
      <w:r>
        <w:rPr>
          <w:rFonts w:ascii="仿宋_GB2312" w:hAnsi="仿宋_GB2312" w:cs="仿宋_GB2312" w:eastAsia="仿宋_GB2312"/>
        </w:rPr>
        <w:t>（以下简称“代理机构”）受</w:t>
      </w:r>
      <w:r>
        <w:rPr>
          <w:rFonts w:ascii="仿宋_GB2312" w:hAnsi="仿宋_GB2312" w:cs="仿宋_GB2312" w:eastAsia="仿宋_GB2312"/>
        </w:rPr>
        <w:t>三原县职业技术教育中心</w:t>
      </w:r>
      <w:r>
        <w:rPr>
          <w:rFonts w:ascii="仿宋_GB2312" w:hAnsi="仿宋_GB2312" w:cs="仿宋_GB2312" w:eastAsia="仿宋_GB2312"/>
        </w:rPr>
        <w:t>委托，拟对</w:t>
      </w:r>
      <w:r>
        <w:rPr>
          <w:rFonts w:ascii="仿宋_GB2312" w:hAnsi="仿宋_GB2312" w:cs="仿宋_GB2312" w:eastAsia="仿宋_GB2312"/>
        </w:rPr>
        <w:t>职业技术教育中心综合高中教室及宿舍维修升级改造工程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SYCG-CS-26019-1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职业技术教育中心综合高中教室及宿舍维修升级改造工程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为了⼤⼒改善办学条件，满⾜教育教学需求，现对综合⾼中教室及宿舍维修升级改造，建筑⾯积约3000平⽅⽶。内容包括给排⽔、电⽓、弱电、装饰装修，教室及宿舍设施设备采购。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1、营业主体：提供供应商合法注册的法人或其他组织的营业执照等证明文件、自然人的身份证明；</w:t>
      </w:r>
    </w:p>
    <w:p>
      <w:pPr>
        <w:pStyle w:val="null3"/>
      </w:pPr>
      <w:r>
        <w:rPr>
          <w:rFonts w:ascii="仿宋_GB2312" w:hAnsi="仿宋_GB2312" w:cs="仿宋_GB2312" w:eastAsia="仿宋_GB2312"/>
        </w:rPr>
        <w:t>2、身份证明：法定代表人身份证明、法定代表人授权书及被授权人身份证合法有效</w:t>
      </w:r>
    </w:p>
    <w:p>
      <w:pPr>
        <w:pStyle w:val="null3"/>
      </w:pPr>
      <w:r>
        <w:rPr>
          <w:rFonts w:ascii="仿宋_GB2312" w:hAnsi="仿宋_GB2312" w:cs="仿宋_GB2312" w:eastAsia="仿宋_GB2312"/>
        </w:rPr>
        <w:t>3、财务状况报告：投标人需提供2024年度或2025年度经审计的投标人财务审计报告或者开标前三个月内的银行资信证明及基本存款账户开户许可证或财政部门认可的政府采购专业担保机构出具的投标担保函；</w:t>
      </w:r>
    </w:p>
    <w:p>
      <w:pPr>
        <w:pStyle w:val="null3"/>
      </w:pPr>
      <w:r>
        <w:rPr>
          <w:rFonts w:ascii="仿宋_GB2312" w:hAnsi="仿宋_GB2312" w:cs="仿宋_GB2312" w:eastAsia="仿宋_GB2312"/>
        </w:rPr>
        <w:t>4、税收缴纳证明：提供开标截止时间前半年内任意一个月的纳税证明或完税证明；依法免税的单位应提供相关证明材料；</w:t>
      </w:r>
    </w:p>
    <w:p>
      <w:pPr>
        <w:pStyle w:val="null3"/>
      </w:pPr>
      <w:r>
        <w:rPr>
          <w:rFonts w:ascii="仿宋_GB2312" w:hAnsi="仿宋_GB2312" w:cs="仿宋_GB2312" w:eastAsia="仿宋_GB2312"/>
        </w:rPr>
        <w:t>5、社会保障资金缴纳证明：提供开标截止时间前半年内任意一个月的社保机构开具的社会保险参保缴费情况证明；依法不需要缴纳社会保障资金的单位应提供相关证明材料；</w:t>
      </w:r>
    </w:p>
    <w:p>
      <w:pPr>
        <w:pStyle w:val="null3"/>
      </w:pPr>
      <w:r>
        <w:rPr>
          <w:rFonts w:ascii="仿宋_GB2312" w:hAnsi="仿宋_GB2312" w:cs="仿宋_GB2312" w:eastAsia="仿宋_GB2312"/>
        </w:rPr>
        <w:t>6、无重大违法记录书面声明：参加本次招标前3年内，在政府采购经营活动中没有重大违法记录的书面声明</w:t>
      </w:r>
    </w:p>
    <w:p>
      <w:pPr>
        <w:pStyle w:val="null3"/>
      </w:pPr>
      <w:r>
        <w:rPr>
          <w:rFonts w:ascii="仿宋_GB2312" w:hAnsi="仿宋_GB2312" w:cs="仿宋_GB2312" w:eastAsia="仿宋_GB2312"/>
        </w:rPr>
        <w:t>7、信用查询：通过“信用中国”网站（www.creditchina.gov.cn）和中国政府采购网（www.ccgp.gov.cn）查询申请 人信用记录，被列入失信被执行人、重大税收违法案件当事人名单、政府采购严重违法失信行为记录名单的单位将被拒绝参与 本项目</w:t>
      </w:r>
    </w:p>
    <w:p>
      <w:pPr>
        <w:pStyle w:val="null3"/>
      </w:pPr>
      <w:r>
        <w:rPr>
          <w:rFonts w:ascii="仿宋_GB2312" w:hAnsi="仿宋_GB2312" w:cs="仿宋_GB2312" w:eastAsia="仿宋_GB2312"/>
        </w:rPr>
        <w:t>8、非联合体投标声明：本项目不接受联合体投标，且单位负责人为同一人或者存在直接控股、管理关系的不同供应商不得参加同一合同项下的政府采购活动；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公司主体：供应商具有独立承担民事责任能力的法人、事业法人、其他组织或自然人。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2、声明：提供具有履行本合同所必需的设备和专业技术能力的声明</w:t>
      </w:r>
    </w:p>
    <w:p>
      <w:pPr>
        <w:pStyle w:val="null3"/>
      </w:pPr>
      <w:r>
        <w:rPr>
          <w:rFonts w:ascii="仿宋_GB2312" w:hAnsi="仿宋_GB2312" w:cs="仿宋_GB2312" w:eastAsia="仿宋_GB2312"/>
        </w:rPr>
        <w:t>3、财务状况报告：投标人需提供2024年度或2025年度经审计的投标人财务审计报告或者开标前三个月内的银行资信证明及基本存款账户开户许可证或财政部门认可的政府采购专业担保机构出具的投标担保函；</w:t>
      </w:r>
    </w:p>
    <w:p>
      <w:pPr>
        <w:pStyle w:val="null3"/>
      </w:pPr>
      <w:r>
        <w:rPr>
          <w:rFonts w:ascii="仿宋_GB2312" w:hAnsi="仿宋_GB2312" w:cs="仿宋_GB2312" w:eastAsia="仿宋_GB2312"/>
        </w:rPr>
        <w:t>4、税收缴纳证明：提供开标截止时间前半年内任意一个月的纳税证明或完税证明；依法免税的单位应提供相关证明材料；</w:t>
      </w:r>
    </w:p>
    <w:p>
      <w:pPr>
        <w:pStyle w:val="null3"/>
      </w:pPr>
      <w:r>
        <w:rPr>
          <w:rFonts w:ascii="仿宋_GB2312" w:hAnsi="仿宋_GB2312" w:cs="仿宋_GB2312" w:eastAsia="仿宋_GB2312"/>
        </w:rPr>
        <w:t>5、社会保障资金缴纳证明：提供开标截止时间前半年内任意一个月的社保机构开具的社会保险参保缴费情况证明；依法不需要缴纳社会保障资金的单位应提供相关证明材料；</w:t>
      </w:r>
    </w:p>
    <w:p>
      <w:pPr>
        <w:pStyle w:val="null3"/>
      </w:pPr>
      <w:r>
        <w:rPr>
          <w:rFonts w:ascii="仿宋_GB2312" w:hAnsi="仿宋_GB2312" w:cs="仿宋_GB2312" w:eastAsia="仿宋_GB2312"/>
        </w:rPr>
        <w:t>6、无重大违法记录书面声明：参加本次招标前3年内，在政府采购经营活动中没有重大违法记录的书面声明</w:t>
      </w:r>
    </w:p>
    <w:p>
      <w:pPr>
        <w:pStyle w:val="null3"/>
      </w:pPr>
      <w:r>
        <w:rPr>
          <w:rFonts w:ascii="仿宋_GB2312" w:hAnsi="仿宋_GB2312" w:cs="仿宋_GB2312" w:eastAsia="仿宋_GB2312"/>
        </w:rPr>
        <w:t>7、信用查询：通过“信用中国”网站（www.creditchina.gov.cn）和中国政府采购网（www.ccgp.gov.cn）查询申请 人信用记录，被列入失信被执行人、重大税收违法案件当事人名单、政府采购严重违法失信行为记录名单的单位将被拒绝参与 本项目</w:t>
      </w:r>
    </w:p>
    <w:p>
      <w:pPr>
        <w:pStyle w:val="null3"/>
      </w:pPr>
      <w:r>
        <w:rPr>
          <w:rFonts w:ascii="仿宋_GB2312" w:hAnsi="仿宋_GB2312" w:cs="仿宋_GB2312" w:eastAsia="仿宋_GB2312"/>
        </w:rPr>
        <w:t>8、非联合体投标声明：本项目不接受联合体投标，且单位负责人为同一人或者存在直接控股、管理关系的不同供应商不得参加同一合同项下的政府采购活动；</w:t>
      </w:r>
    </w:p>
    <w:p>
      <w:pPr>
        <w:pStyle w:val="null3"/>
      </w:pPr>
      <w:r>
        <w:rPr>
          <w:rFonts w:ascii="仿宋_GB2312" w:hAnsi="仿宋_GB2312" w:cs="仿宋_GB2312" w:eastAsia="仿宋_GB2312"/>
        </w:rPr>
        <w:t>9、公司资质：供应商具备建设行政主管部门颁发的建筑工程施工总承包三级（含三级）或建筑装修装饰工程专业承包二级（含二级）及以上资质并具有有效的安全生产许可证</w:t>
      </w:r>
    </w:p>
    <w:p>
      <w:pPr>
        <w:pStyle w:val="null3"/>
      </w:pPr>
      <w:r>
        <w:rPr>
          <w:rFonts w:ascii="仿宋_GB2312" w:hAnsi="仿宋_GB2312" w:cs="仿宋_GB2312" w:eastAsia="仿宋_GB2312"/>
        </w:rPr>
        <w:t>10、项目负责人：拟派往项目负责人须具备建筑工程专业二级及以上注册建造师执业资格，并持有有效的安全生产考核合格证书（B证），且未担任其他在建工程项目的项目经理。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三原县职业技术教育中心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三原县西阳镇街道南2000米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三原县职业技术教育中心经办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13892969016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三原县政府采购中心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三原县政府街7号三原县财政局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029-32269233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采购包1：1,091,315.20元</w:t>
            </w:r>
          </w:p>
          <w:p>
            <w:pPr>
              <w:pStyle w:val="null3"/>
            </w:pPr>
            <w:r>
              <w:rPr>
                <w:rFonts w:ascii="仿宋_GB2312" w:hAnsi="仿宋_GB2312" w:cs="仿宋_GB2312" w:eastAsia="仿宋_GB2312"/>
              </w:rPr>
              <w:t>采购包2：899,918.51元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1.5匹变 频冷暖 挂壁式 空调</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LED⿊板灯、LED护 眼教室灯、平板灯、1.5匹变 频冷暖 挂壁式 空调</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三原县职业技术教育中心</w:t>
      </w:r>
      <w:r>
        <w:rPr>
          <w:rFonts w:ascii="仿宋_GB2312" w:hAnsi="仿宋_GB2312" w:cs="仿宋_GB2312" w:eastAsia="仿宋_GB2312"/>
        </w:rPr>
        <w:t>和</w:t>
      </w:r>
      <w:r>
        <w:rPr>
          <w:rFonts w:ascii="仿宋_GB2312" w:hAnsi="仿宋_GB2312" w:cs="仿宋_GB2312" w:eastAsia="仿宋_GB2312"/>
        </w:rPr>
        <w:t>三原县政府采购中心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三原县职业技术教育中心</w:t>
      </w:r>
      <w:r>
        <w:rPr>
          <w:rFonts w:ascii="仿宋_GB2312" w:hAnsi="仿宋_GB2312" w:cs="仿宋_GB2312" w:eastAsia="仿宋_GB2312"/>
        </w:rPr>
        <w:t>负责解释。除上述磋商文件内容，其他内容由</w:t>
      </w:r>
      <w:r>
        <w:rPr>
          <w:rFonts w:ascii="仿宋_GB2312" w:hAnsi="仿宋_GB2312" w:cs="仿宋_GB2312" w:eastAsia="仿宋_GB2312"/>
        </w:rPr>
        <w:t>三原县政府采购中心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三原县职业技术教育中心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三原县政府采购中心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一、采购人应在成交通知书发出之日起二十五日内与成交供应商签订采购合同。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以采购文件、清单技术参数及国家现行相关行业规范为依据，所有设备外观、规格、性能、安装及使用功能均须达到合格标准方可验收通过。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以采购需求、施工图纸、工程量清单及国家现行装饰装修、电气、弱电工程规范为依据，所有施工工序、用材质量、安装工艺及整体使用功能均须达到合格标准方可验收通过。</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联系电话：029-32269233</w:t>
      </w:r>
    </w:p>
    <w:p>
      <w:pPr>
        <w:pStyle w:val="null3"/>
      </w:pPr>
      <w:r>
        <w:rPr>
          <w:rFonts w:ascii="仿宋_GB2312" w:hAnsi="仿宋_GB2312" w:cs="仿宋_GB2312" w:eastAsia="仿宋_GB2312"/>
        </w:rPr>
        <w:t>地址：三原县政府街7号三原县财政局</w:t>
      </w:r>
    </w:p>
    <w:p>
      <w:pPr>
        <w:pStyle w:val="null3"/>
      </w:pPr>
      <w:r>
        <w:rPr>
          <w:rFonts w:ascii="仿宋_GB2312" w:hAnsi="仿宋_GB2312" w:cs="仿宋_GB2312" w:eastAsia="仿宋_GB2312"/>
        </w:rPr>
        <w:t>邮编：713800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为了大力改善办学条件，满足教育教学需求，现对综合高中教室及宿舍维修升级改造，建筑面积约3000平方米。内容包括给排水、电气、弱电、装饰装修，教室及宿舍设施设备采购。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1,091,315.20</w:t>
      </w:r>
    </w:p>
    <w:p>
      <w:pPr>
        <w:pStyle w:val="null3"/>
      </w:pPr>
      <w:r>
        <w:rPr>
          <w:rFonts w:ascii="仿宋_GB2312" w:hAnsi="仿宋_GB2312" w:cs="仿宋_GB2312" w:eastAsia="仿宋_GB2312"/>
        </w:rPr>
        <w:t>采购包最高限价（元）: 1,091,315.20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三原县综合高中教室及宿舍楼设备采购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1,091,315.20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899,918.51</w:t>
      </w:r>
    </w:p>
    <w:p>
      <w:pPr>
        <w:pStyle w:val="null3"/>
      </w:pPr>
      <w:r>
        <w:rPr>
          <w:rFonts w:ascii="仿宋_GB2312" w:hAnsi="仿宋_GB2312" w:cs="仿宋_GB2312" w:eastAsia="仿宋_GB2312"/>
        </w:rPr>
        <w:t>采购包最高限价（元）: 899,918.51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三原县综合高中教室及宿舍维修升级改造项目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899,918.51</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建筑业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采购包2：</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标的名称：三原县综合高中教室及宿舍楼设备采购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34"/>
              <w:gridCol w:w="201"/>
              <w:gridCol w:w="2021"/>
              <w:gridCol w:w="196"/>
            </w:tblGrid>
            <w:tr>
              <w:tc>
                <w:tcPr>
                  <w:tcW w:type="dxa" w:w="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序号</w:t>
                  </w:r>
                </w:p>
              </w:tc>
              <w:tc>
                <w:tcPr>
                  <w:tcW w:type="dxa" w:w="2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w:t>
                  </w:r>
                </w:p>
              </w:tc>
              <w:tc>
                <w:tcPr>
                  <w:tcW w:type="dxa" w:w="20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配置技术参数</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21"/>
                      <w:b/>
                    </w:rPr>
                    <w:t>智慧黑板（核心产品）</w:t>
                  </w:r>
                </w:p>
              </w:tc>
              <w:tc>
                <w:tcPr>
                  <w:tcW w:type="dxa" w:w="2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一、整机要求</w:t>
                  </w:r>
                </w:p>
                <w:p>
                  <w:pPr>
                    <w:pStyle w:val="null3"/>
                    <w:jc w:val="both"/>
                  </w:pPr>
                  <w:r>
                    <w:rPr>
                      <w:rFonts w:ascii="仿宋_GB2312" w:hAnsi="仿宋_GB2312" w:cs="仿宋_GB2312" w:eastAsia="仿宋_GB2312"/>
                      <w:sz w:val="21"/>
                    </w:rPr>
                    <w:t>1、整体结构：黑板采用无推拉式结构，采用三拼接平面一体化设计，支持普通粉笔、无尘粉笔、液体粉笔、水溶性粉笔等直接书写。</w:t>
                  </w:r>
                </w:p>
                <w:p>
                  <w:pPr>
                    <w:pStyle w:val="null3"/>
                    <w:jc w:val="both"/>
                  </w:pPr>
                  <w:r>
                    <w:rPr>
                      <w:rFonts w:ascii="仿宋_GB2312" w:hAnsi="仿宋_GB2312" w:cs="仿宋_GB2312" w:eastAsia="仿宋_GB2312"/>
                      <w:sz w:val="21"/>
                    </w:rPr>
                    <w:t>2、显示屏幕：显示尺寸≥86英寸，采用UHD超高清LED液晶屏，防眩光全钢化防爆玻璃面板，显示比例为16:9，分辨率不低于3840×2160。</w:t>
                  </w:r>
                </w:p>
                <w:p>
                  <w:pPr>
                    <w:pStyle w:val="null3"/>
                    <w:jc w:val="both"/>
                  </w:pPr>
                  <w:r>
                    <w:rPr>
                      <w:rFonts w:ascii="仿宋_GB2312" w:hAnsi="仿宋_GB2312" w:cs="仿宋_GB2312" w:eastAsia="仿宋_GB2312"/>
                      <w:sz w:val="21"/>
                    </w:rPr>
                    <w:t>3、显示性能：整机须符合GB 40070-2021标准的显示技术要求，亮度≥300cd/m²且≤400cd/m²，对比度≥1000:1，亮度均匀性≥70%，闪烁等级≤-30dB（60Hz），蓝光防护须符合RG0等级要求，水平视角≥120°，垂直视角≥60°。</w:t>
                  </w:r>
                </w:p>
                <w:p>
                  <w:pPr>
                    <w:pStyle w:val="null3"/>
                    <w:jc w:val="both"/>
                  </w:pPr>
                  <w:r>
                    <w:rPr>
                      <w:rFonts w:ascii="仿宋_GB2312" w:hAnsi="仿宋_GB2312" w:cs="仿宋_GB2312" w:eastAsia="仿宋_GB2312"/>
                      <w:sz w:val="21"/>
                    </w:rPr>
                    <w:t>4、画质处理：整机系统需具备高清信号处理能力，支持4K高清画质输出。</w:t>
                  </w:r>
                </w:p>
                <w:p>
                  <w:pPr>
                    <w:pStyle w:val="null3"/>
                    <w:jc w:val="both"/>
                  </w:pPr>
                  <w:r>
                    <w:rPr>
                      <w:rFonts w:ascii="仿宋_GB2312" w:hAnsi="仿宋_GB2312" w:cs="仿宋_GB2312" w:eastAsia="仿宋_GB2312"/>
                      <w:sz w:val="21"/>
                    </w:rPr>
                    <w:t>5、硬件自检：整机应具备硬件自检维护能力，能够检测关键硬件运行状态，便于日常运维管理。</w:t>
                  </w:r>
                </w:p>
                <w:p>
                  <w:pPr>
                    <w:pStyle w:val="null3"/>
                    <w:jc w:val="both"/>
                  </w:pPr>
                  <w:r>
                    <w:rPr>
                      <w:rFonts w:ascii="仿宋_GB2312" w:hAnsi="仿宋_GB2312" w:cs="仿宋_GB2312" w:eastAsia="仿宋_GB2312"/>
                      <w:sz w:val="21"/>
                    </w:rPr>
                    <w:t>6、触控性能：整机需支持在Windows 10/11/Linux/麒麟/UOS统信系统等，≥20点触控。整机采用电容触控技术，在上述操作系统下自动识别，无需额外安装驱动程序。</w:t>
                  </w:r>
                </w:p>
                <w:p>
                  <w:pPr>
                    <w:pStyle w:val="null3"/>
                    <w:jc w:val="both"/>
                  </w:pPr>
                  <w:r>
                    <w:rPr>
                      <w:rFonts w:ascii="仿宋_GB2312" w:hAnsi="仿宋_GB2312" w:cs="仿宋_GB2312" w:eastAsia="仿宋_GB2312"/>
                      <w:sz w:val="21"/>
                    </w:rPr>
                    <w:t>7、手势操作：整机需支持在任意通道中，无需通过物理按键，通过便捷的多点触控手势调用悬浮菜单到屏幕任意位置。悬浮菜单可根据用户需要自定义替换功能项。</w:t>
                  </w:r>
                </w:p>
                <w:p>
                  <w:pPr>
                    <w:pStyle w:val="null3"/>
                    <w:jc w:val="both"/>
                  </w:pPr>
                  <w:r>
                    <w:rPr>
                      <w:rFonts w:ascii="仿宋_GB2312" w:hAnsi="仿宋_GB2312" w:cs="仿宋_GB2312" w:eastAsia="仿宋_GB2312"/>
                      <w:sz w:val="21"/>
                    </w:rPr>
                    <w:t>8、便捷菜单：整机需支持在任意通道下调出中控便捷菜单，响应无延迟，具备返回操作、一键主页、任务预览、菜单设置、全通道屏幕批注等功能。</w:t>
                  </w:r>
                </w:p>
                <w:p>
                  <w:pPr>
                    <w:pStyle w:val="null3"/>
                    <w:jc w:val="both"/>
                  </w:pPr>
                  <w:r>
                    <w:rPr>
                      <w:rFonts w:ascii="仿宋_GB2312" w:hAnsi="仿宋_GB2312" w:cs="仿宋_GB2312" w:eastAsia="仿宋_GB2312"/>
                      <w:sz w:val="21"/>
                    </w:rPr>
                    <w:t>9、嵌入式系统：整机需自带操作系统，内存≥4GB，存储空间≥32GB。</w:t>
                  </w:r>
                </w:p>
                <w:p>
                  <w:pPr>
                    <w:pStyle w:val="null3"/>
                    <w:jc w:val="both"/>
                  </w:pPr>
                  <w:r>
                    <w:rPr>
                      <w:rFonts w:ascii="仿宋_GB2312" w:hAnsi="仿宋_GB2312" w:cs="仿宋_GB2312" w:eastAsia="仿宋_GB2312"/>
                      <w:sz w:val="21"/>
                    </w:rPr>
                    <w:t>10、互动白板：无需借助PC，嵌入式系统内置互动白板，工具栏采用直观的图标设计，易于操作识别。</w:t>
                  </w:r>
                </w:p>
                <w:p>
                  <w:pPr>
                    <w:pStyle w:val="null3"/>
                    <w:jc w:val="both"/>
                  </w:pPr>
                  <w:r>
                    <w:rPr>
                      <w:rFonts w:ascii="仿宋_GB2312" w:hAnsi="仿宋_GB2312" w:cs="仿宋_GB2312" w:eastAsia="仿宋_GB2312"/>
                      <w:sz w:val="21"/>
                    </w:rPr>
                    <w:t>11、笔迹换色：嵌入式系统下，在选中笔迹或形状后，可选择不同颜色对笔迹或形状进行换色。</w:t>
                  </w:r>
                </w:p>
                <w:p>
                  <w:pPr>
                    <w:pStyle w:val="null3"/>
                    <w:jc w:val="both"/>
                  </w:pPr>
                  <w:r>
                    <w:rPr>
                      <w:rFonts w:ascii="仿宋_GB2312" w:hAnsi="仿宋_GB2312" w:cs="仿宋_GB2312" w:eastAsia="仿宋_GB2312"/>
                      <w:sz w:val="21"/>
                    </w:rPr>
                    <w:t>12、双系统备份：嵌入式系统下，可实现白板书写、多媒体播放、网页浏览等功能，与内置/外接电脑形成双操作系统安全备份。</w:t>
                  </w:r>
                </w:p>
                <w:p>
                  <w:pPr>
                    <w:pStyle w:val="null3"/>
                    <w:jc w:val="both"/>
                  </w:pPr>
                  <w:r>
                    <w:rPr>
                      <w:rFonts w:ascii="仿宋_GB2312" w:hAnsi="仿宋_GB2312" w:cs="仿宋_GB2312" w:eastAsia="仿宋_GB2312"/>
                      <w:sz w:val="21"/>
                    </w:rPr>
                    <w:t>13、文件管理：嵌入式系统需具备文件浏览功能，可实现文件分类，选定、全选、复制、粘贴、删除。</w:t>
                  </w:r>
                </w:p>
                <w:p>
                  <w:pPr>
                    <w:pStyle w:val="null3"/>
                    <w:jc w:val="both"/>
                  </w:pPr>
                  <w:r>
                    <w:rPr>
                      <w:rFonts w:ascii="仿宋_GB2312" w:hAnsi="仿宋_GB2312" w:cs="仿宋_GB2312" w:eastAsia="仿宋_GB2312"/>
                      <w:sz w:val="21"/>
                    </w:rPr>
                    <w:t>14、文件分类：嵌入式系统需支持将文件进行自动归类，分类查找文档、音乐、视频、图片等文件，检索后可直接在界面中打开，并支持自主安装第三方APK应用。</w:t>
                  </w:r>
                </w:p>
                <w:p>
                  <w:pPr>
                    <w:pStyle w:val="null3"/>
                    <w:jc w:val="both"/>
                  </w:pPr>
                  <w:r>
                    <w:rPr>
                      <w:rFonts w:ascii="仿宋_GB2312" w:hAnsi="仿宋_GB2312" w:cs="仿宋_GB2312" w:eastAsia="仿宋_GB2312"/>
                      <w:sz w:val="21"/>
                    </w:rPr>
                    <w:t>15、无线传屏：嵌入式系统需内置无线传屏功能，支持Android、iOS、Windows等设备通过无线方式连接到一体机。支持单画面、多画面显示。</w:t>
                  </w:r>
                </w:p>
                <w:p>
                  <w:pPr>
                    <w:pStyle w:val="null3"/>
                    <w:jc w:val="both"/>
                  </w:pPr>
                  <w:r>
                    <w:rPr>
                      <w:rFonts w:ascii="仿宋_GB2312" w:hAnsi="仿宋_GB2312" w:cs="仿宋_GB2312" w:eastAsia="仿宋_GB2312"/>
                      <w:sz w:val="21"/>
                    </w:rPr>
                    <w:t>16、多画面传屏：嵌入式系统传屏时，支持不少于4个投屏客户端图像画面对比展示。</w:t>
                  </w:r>
                </w:p>
                <w:p>
                  <w:pPr>
                    <w:pStyle w:val="null3"/>
                    <w:jc w:val="both"/>
                  </w:pPr>
                  <w:r>
                    <w:rPr>
                      <w:rFonts w:ascii="仿宋_GB2312" w:hAnsi="仿宋_GB2312" w:cs="仿宋_GB2312" w:eastAsia="仿宋_GB2312"/>
                      <w:sz w:val="21"/>
                    </w:rPr>
                    <w:t>17、物理按键：整机需提供不少于6个固定功能的物理按键，至少具备电源开关、一键切换主页、一键调用信号源菜单、音量调节、一键开启护眼模式、触控开关等常用功能；并提供不少于1个自定义按键。</w:t>
                  </w:r>
                </w:p>
                <w:p>
                  <w:pPr>
                    <w:pStyle w:val="null3"/>
                    <w:jc w:val="both"/>
                  </w:pPr>
                  <w:r>
                    <w:rPr>
                      <w:rFonts w:ascii="仿宋_GB2312" w:hAnsi="仿宋_GB2312" w:cs="仿宋_GB2312" w:eastAsia="仿宋_GB2312"/>
                      <w:sz w:val="21"/>
                    </w:rPr>
                    <w:t>18、前置接口：整机需具备常用的前置接口，具备≥1路HDMI接口、≥3路前置双系统USB接口、≥1路Type-C接口。</w:t>
                  </w:r>
                </w:p>
                <w:p>
                  <w:pPr>
                    <w:pStyle w:val="null3"/>
                    <w:jc w:val="both"/>
                  </w:pPr>
                  <w:r>
                    <w:rPr>
                      <w:rFonts w:ascii="仿宋_GB2312" w:hAnsi="仿宋_GB2312" w:cs="仿宋_GB2312" w:eastAsia="仿宋_GB2312"/>
                      <w:sz w:val="21"/>
                    </w:rPr>
                    <w:t>19、Type-C功能：整机需支持通过Type-C接口实现音视频输入及触控数据传输，外接电脑设备通过标准Type-C线连接至整机Type-C口，即可把外接电脑设备画面投到整机上，同时在整机上操作画面，可实现触摸电脑的操作。</w:t>
                  </w:r>
                </w:p>
                <w:p>
                  <w:pPr>
                    <w:pStyle w:val="null3"/>
                    <w:jc w:val="both"/>
                  </w:pPr>
                  <w:r>
                    <w:rPr>
                      <w:rFonts w:ascii="仿宋_GB2312" w:hAnsi="仿宋_GB2312" w:cs="仿宋_GB2312" w:eastAsia="仿宋_GB2312"/>
                      <w:sz w:val="21"/>
                    </w:rPr>
                    <w:t>20、音视频采集：整机需内置摄像头、麦克风以及扬声器，不占用整机外部设备接口，摄像头可拍摄≥1300万像素的照片，麦克风阵列数≥6阵列，扬声器总功率≥30W。</w:t>
                  </w:r>
                </w:p>
                <w:p>
                  <w:pPr>
                    <w:pStyle w:val="null3"/>
                    <w:jc w:val="both"/>
                  </w:pPr>
                  <w:r>
                    <w:rPr>
                      <w:rFonts w:ascii="仿宋_GB2312" w:hAnsi="仿宋_GB2312" w:cs="仿宋_GB2312" w:eastAsia="仿宋_GB2312"/>
                      <w:sz w:val="21"/>
                    </w:rPr>
                    <w:t>21、摄像头AI功能：整机摄像头需支持人脸识别、点人数、随机抽人等功能，可识别镜头前的学生并显示人脸标记、随机抽选。支持同时显示标记不少于30人。</w:t>
                  </w:r>
                </w:p>
                <w:p>
                  <w:pPr>
                    <w:pStyle w:val="null3"/>
                    <w:jc w:val="both"/>
                  </w:pPr>
                  <w:r>
                    <w:rPr>
                      <w:rFonts w:ascii="仿宋_GB2312" w:hAnsi="仿宋_GB2312" w:cs="仿宋_GB2312" w:eastAsia="仿宋_GB2312"/>
                      <w:sz w:val="21"/>
                    </w:rPr>
                    <w:t>22、护眼功能：整机需支持纸质护眼模式，可实时调整画面纹理，同时支持色温调节和透明度调节。</w:t>
                  </w:r>
                </w:p>
                <w:p>
                  <w:pPr>
                    <w:pStyle w:val="null3"/>
                    <w:jc w:val="both"/>
                  </w:pPr>
                  <w:r>
                    <w:rPr>
                      <w:rFonts w:ascii="仿宋_GB2312" w:hAnsi="仿宋_GB2312" w:cs="仿宋_GB2312" w:eastAsia="仿宋_GB2312"/>
                      <w:sz w:val="21"/>
                    </w:rPr>
                    <w:t>23、整机需具备拾音功能，在关闭显示部分的情况下可播放音频。</w:t>
                  </w:r>
                </w:p>
                <w:p>
                  <w:pPr>
                    <w:pStyle w:val="null3"/>
                    <w:jc w:val="both"/>
                  </w:pPr>
                  <w:r>
                    <w:rPr>
                      <w:rFonts w:ascii="仿宋_GB2312" w:hAnsi="仿宋_GB2312" w:cs="仿宋_GB2312" w:eastAsia="仿宋_GB2312"/>
                      <w:sz w:val="21"/>
                    </w:rPr>
                    <w:t>24、WIFI功能：整机需内置WIFI模块，支持2.4G/5G网络接入，WIFI天线模块应具备良好的信号覆盖能力，设计位置应便于信号传输。</w:t>
                  </w:r>
                </w:p>
                <w:p>
                  <w:pPr>
                    <w:pStyle w:val="null3"/>
                    <w:jc w:val="both"/>
                  </w:pPr>
                  <w:r>
                    <w:rPr>
                      <w:rFonts w:ascii="仿宋_GB2312" w:hAnsi="仿宋_GB2312" w:cs="仿宋_GB2312" w:eastAsia="仿宋_GB2312"/>
                      <w:sz w:val="21"/>
                    </w:rPr>
                    <w:t>25、无线AP：整机需自带无线AP模块，支持自身连接网络的同时，支持一键自建热点（覆盖5G、2.4G双频模式）。</w:t>
                  </w:r>
                </w:p>
                <w:p>
                  <w:pPr>
                    <w:pStyle w:val="null3"/>
                    <w:jc w:val="both"/>
                  </w:pPr>
                  <w:r>
                    <w:rPr>
                      <w:rFonts w:ascii="仿宋_GB2312" w:hAnsi="仿宋_GB2312" w:cs="仿宋_GB2312" w:eastAsia="仿宋_GB2312"/>
                      <w:sz w:val="21"/>
                    </w:rPr>
                    <w:t>二、内置</w:t>
                  </w:r>
                  <w:r>
                    <w:rPr>
                      <w:rFonts w:ascii="仿宋_GB2312" w:hAnsi="仿宋_GB2312" w:cs="仿宋_GB2312" w:eastAsia="仿宋_GB2312"/>
                      <w:sz w:val="21"/>
                    </w:rPr>
                    <w:t>OPS电脑</w:t>
                  </w:r>
                </w:p>
                <w:p>
                  <w:pPr>
                    <w:pStyle w:val="null3"/>
                    <w:jc w:val="both"/>
                  </w:pPr>
                  <w:r>
                    <w:rPr>
                      <w:rFonts w:ascii="仿宋_GB2312" w:hAnsi="仿宋_GB2312" w:cs="仿宋_GB2312" w:eastAsia="仿宋_GB2312"/>
                      <w:sz w:val="21"/>
                    </w:rPr>
                    <w:t>1、OPS模块为标准的80针可拔插式电脑，采用抽拉内置式模块化设计。</w:t>
                  </w:r>
                </w:p>
                <w:p>
                  <w:pPr>
                    <w:pStyle w:val="null3"/>
                    <w:jc w:val="both"/>
                  </w:pPr>
                  <w:r>
                    <w:rPr>
                      <w:rFonts w:ascii="仿宋_GB2312" w:hAnsi="仿宋_GB2312" w:cs="仿宋_GB2312" w:eastAsia="仿宋_GB2312"/>
                      <w:sz w:val="21"/>
                    </w:rPr>
                    <w:t>2、CPU：处理器性能不低于8核，单核主频不低于2.3GHz，内存配置≥8GB，硬盘支持≥256GB固态硬盘，内置WIFI和蓝牙模块。</w:t>
                  </w:r>
                </w:p>
                <w:p>
                  <w:pPr>
                    <w:pStyle w:val="null3"/>
                    <w:jc w:val="both"/>
                  </w:pPr>
                  <w:r>
                    <w:rPr>
                      <w:rFonts w:ascii="仿宋_GB2312" w:hAnsi="仿宋_GB2312" w:cs="仿宋_GB2312" w:eastAsia="仿宋_GB2312"/>
                      <w:sz w:val="21"/>
                    </w:rPr>
                    <w:t>3、扩展接口：≥1路HDMI输出、≥1路网线端口、≥6路USB、≥1路MIC IN、≥1路Line OUT。</w:t>
                  </w:r>
                </w:p>
                <w:p>
                  <w:pPr>
                    <w:pStyle w:val="null3"/>
                    <w:jc w:val="both"/>
                  </w:pPr>
                  <w:r>
                    <w:rPr>
                      <w:rFonts w:ascii="仿宋_GB2312" w:hAnsi="仿宋_GB2312" w:cs="仿宋_GB2312" w:eastAsia="仿宋_GB2312"/>
                      <w:sz w:val="21"/>
                    </w:rPr>
                    <w:t>4、操作系统：预装正版Windows操作系统或同等功能的国产操作系统。</w:t>
                  </w:r>
                </w:p>
                <w:p>
                  <w:pPr>
                    <w:pStyle w:val="null3"/>
                    <w:jc w:val="both"/>
                  </w:pPr>
                  <w:r>
                    <w:rPr>
                      <w:rFonts w:ascii="仿宋_GB2312" w:hAnsi="仿宋_GB2312" w:cs="仿宋_GB2312" w:eastAsia="仿宋_GB2312"/>
                      <w:sz w:val="21"/>
                    </w:rPr>
                    <w:t>三、配套教学软件</w:t>
                  </w:r>
                </w:p>
                <w:p>
                  <w:pPr>
                    <w:pStyle w:val="null3"/>
                    <w:jc w:val="both"/>
                  </w:pPr>
                  <w:r>
                    <w:rPr>
                      <w:rFonts w:ascii="仿宋_GB2312" w:hAnsi="仿宋_GB2312" w:cs="仿宋_GB2312" w:eastAsia="仿宋_GB2312"/>
                      <w:sz w:val="21"/>
                    </w:rPr>
                    <w:t>1、账号登录：支持教师个人账号注册登录使用，至少支持通过数字账号、微信二维码、硬件密钥等方式登录教师个人账号。</w:t>
                  </w:r>
                </w:p>
                <w:p>
                  <w:pPr>
                    <w:pStyle w:val="null3"/>
                    <w:jc w:val="both"/>
                  </w:pPr>
                  <w:r>
                    <w:rPr>
                      <w:rFonts w:ascii="仿宋_GB2312" w:hAnsi="仿宋_GB2312" w:cs="仿宋_GB2312" w:eastAsia="仿宋_GB2312"/>
                      <w:sz w:val="21"/>
                    </w:rPr>
                    <w:t>2、账号存储：个人云存储空间不少于50G。支持课件云存储，教师联网登录即可获取云课件。支持在个人云空间上传存储互动课件、云教案和其他教学资源。</w:t>
                  </w:r>
                </w:p>
                <w:p>
                  <w:pPr>
                    <w:pStyle w:val="null3"/>
                    <w:jc w:val="both"/>
                  </w:pPr>
                  <w:r>
                    <w:rPr>
                      <w:rFonts w:ascii="仿宋_GB2312" w:hAnsi="仿宋_GB2312" w:cs="仿宋_GB2312" w:eastAsia="仿宋_GB2312"/>
                      <w:sz w:val="21"/>
                    </w:rPr>
                    <w:t>3、待办提醒：支持创建待办事项提醒，可设置提醒/截止时间，并可添加附件；需提供进行中/已完成列表，可快速切换事项状态；逾期事项提供标识提醒。</w:t>
                  </w:r>
                </w:p>
                <w:p>
                  <w:pPr>
                    <w:pStyle w:val="null3"/>
                    <w:jc w:val="both"/>
                  </w:pPr>
                  <w:r>
                    <w:rPr>
                      <w:rFonts w:ascii="仿宋_GB2312" w:hAnsi="仿宋_GB2312" w:cs="仿宋_GB2312" w:eastAsia="仿宋_GB2312"/>
                      <w:sz w:val="21"/>
                    </w:rPr>
                    <w:t>4、课件同步：支持课件云同步，支持用户一键同步在软件中打开编辑的课件，课件上的修改、操作均可实时同步至云端。</w:t>
                  </w:r>
                </w:p>
                <w:p>
                  <w:pPr>
                    <w:pStyle w:val="null3"/>
                    <w:jc w:val="both"/>
                  </w:pPr>
                  <w:r>
                    <w:rPr>
                      <w:rFonts w:ascii="仿宋_GB2312" w:hAnsi="仿宋_GB2312" w:cs="仿宋_GB2312" w:eastAsia="仿宋_GB2312"/>
                      <w:sz w:val="21"/>
                    </w:rPr>
                    <w:t>5、快捷搜索：支持在课件中通过快捷键调用搜索功能，输入文本即可查找课件内文本框中对应的文本匹配项。</w:t>
                  </w:r>
                </w:p>
                <w:p>
                  <w:pPr>
                    <w:pStyle w:val="null3"/>
                    <w:jc w:val="both"/>
                  </w:pPr>
                  <w:r>
                    <w:rPr>
                      <w:rFonts w:ascii="仿宋_GB2312" w:hAnsi="仿宋_GB2312" w:cs="仿宋_GB2312" w:eastAsia="仿宋_GB2312"/>
                      <w:sz w:val="21"/>
                    </w:rPr>
                    <w:t>6、教案模板：提供不少于3种教案模板以供老师撰写教案，包括表格式、提纲式等常用格式。</w:t>
                  </w:r>
                </w:p>
                <w:p>
                  <w:pPr>
                    <w:pStyle w:val="null3"/>
                    <w:jc w:val="both"/>
                  </w:pPr>
                  <w:r>
                    <w:rPr>
                      <w:rFonts w:ascii="仿宋_GB2312" w:hAnsi="仿宋_GB2312" w:cs="仿宋_GB2312" w:eastAsia="仿宋_GB2312"/>
                      <w:sz w:val="21"/>
                    </w:rPr>
                    <w:t>7、文本输入：支持文本输入并可设置字体、大小、颜色、粗体、斜体、下划线、项目符号、对齐、缩进等。</w:t>
                  </w:r>
                </w:p>
                <w:p>
                  <w:pPr>
                    <w:pStyle w:val="null3"/>
                    <w:jc w:val="both"/>
                  </w:pPr>
                  <w:r>
                    <w:rPr>
                      <w:rFonts w:ascii="仿宋_GB2312" w:hAnsi="仿宋_GB2312" w:cs="仿宋_GB2312" w:eastAsia="仿宋_GB2312"/>
                      <w:sz w:val="21"/>
                    </w:rPr>
                    <w:t>8、艺术字：提供不少于10种预设艺术字效果供选择。</w:t>
                  </w:r>
                </w:p>
                <w:p>
                  <w:pPr>
                    <w:pStyle w:val="null3"/>
                    <w:jc w:val="both"/>
                  </w:pPr>
                  <w:r>
                    <w:rPr>
                      <w:rFonts w:ascii="仿宋_GB2312" w:hAnsi="仿宋_GB2312" w:cs="仿宋_GB2312" w:eastAsia="仿宋_GB2312"/>
                      <w:sz w:val="21"/>
                    </w:rPr>
                    <w:t>9、书写讲解：提供不少于三种笔形，支持多点同时书写，可自由选择笔颜色及粗细，支持手势擦除。</w:t>
                  </w:r>
                </w:p>
                <w:p>
                  <w:pPr>
                    <w:pStyle w:val="null3"/>
                    <w:jc w:val="both"/>
                  </w:pPr>
                  <w:r>
                    <w:rPr>
                      <w:rFonts w:ascii="仿宋_GB2312" w:hAnsi="仿宋_GB2312" w:cs="仿宋_GB2312" w:eastAsia="仿宋_GB2312"/>
                      <w:sz w:val="21"/>
                    </w:rPr>
                    <w:t>10、翻页按键：提供多种翻页按键布局，支持上下翻页、课件页面预览及页面非线性跳转。</w:t>
                  </w:r>
                </w:p>
                <w:p>
                  <w:pPr>
                    <w:pStyle w:val="null3"/>
                    <w:jc w:val="both"/>
                  </w:pPr>
                  <w:r>
                    <w:rPr>
                      <w:rFonts w:ascii="仿宋_GB2312" w:hAnsi="仿宋_GB2312" w:cs="仿宋_GB2312" w:eastAsia="仿宋_GB2312"/>
                      <w:sz w:val="21"/>
                    </w:rPr>
                    <w:t>11、自定义页面：支持自定义页面背景，可对页面的颜色进行任意更改，也可以选择任意图片作为背景页面使用。</w:t>
                  </w:r>
                </w:p>
                <w:p>
                  <w:pPr>
                    <w:pStyle w:val="null3"/>
                    <w:jc w:val="both"/>
                  </w:pPr>
                  <w:r>
                    <w:rPr>
                      <w:rFonts w:ascii="仿宋_GB2312" w:hAnsi="仿宋_GB2312" w:cs="仿宋_GB2312" w:eastAsia="仿宋_GB2312"/>
                      <w:sz w:val="21"/>
                    </w:rPr>
                    <w:t>12、通用工具：至少提供板中板、幕布、计时器、计算器、计分牌等通用工具。</w:t>
                  </w:r>
                </w:p>
                <w:p>
                  <w:pPr>
                    <w:pStyle w:val="null3"/>
                    <w:jc w:val="both"/>
                  </w:pPr>
                  <w:r>
                    <w:rPr>
                      <w:rFonts w:ascii="仿宋_GB2312" w:hAnsi="仿宋_GB2312" w:cs="仿宋_GB2312" w:eastAsia="仿宋_GB2312"/>
                      <w:sz w:val="21"/>
                    </w:rPr>
                    <w:t>13、微课录制：支持微课录制，可录制保存音频和课件的互动操作。</w:t>
                  </w:r>
                </w:p>
                <w:p>
                  <w:pPr>
                    <w:pStyle w:val="null3"/>
                    <w:jc w:val="both"/>
                  </w:pPr>
                  <w:r>
                    <w:rPr>
                      <w:rFonts w:ascii="仿宋_GB2312" w:hAnsi="仿宋_GB2312" w:cs="仿宋_GB2312" w:eastAsia="仿宋_GB2312"/>
                      <w:sz w:val="21"/>
                    </w:rPr>
                    <w:t>14、语文工具：提供汉字工具，支持识别手写汉字，并提供读音、笔划、描红演示等功能；提供注音工具。</w:t>
                  </w:r>
                </w:p>
                <w:p>
                  <w:pPr>
                    <w:pStyle w:val="null3"/>
                    <w:jc w:val="both"/>
                  </w:pPr>
                  <w:r>
                    <w:rPr>
                      <w:rFonts w:ascii="仿宋_GB2312" w:hAnsi="仿宋_GB2312" w:cs="仿宋_GB2312" w:eastAsia="仿宋_GB2312"/>
                      <w:sz w:val="21"/>
                    </w:rPr>
                    <w:t>15、英汉字典：支持搜索单词，可生成包含释义、例句等信息的单词卡。</w:t>
                  </w:r>
                </w:p>
                <w:p>
                  <w:pPr>
                    <w:pStyle w:val="null3"/>
                    <w:jc w:val="both"/>
                  </w:pPr>
                  <w:r>
                    <w:rPr>
                      <w:rFonts w:ascii="仿宋_GB2312" w:hAnsi="仿宋_GB2312" w:cs="仿宋_GB2312" w:eastAsia="仿宋_GB2312"/>
                      <w:sz w:val="21"/>
                    </w:rPr>
                    <w:t>16、尺规工具：至少提供直尺、三角尺、量角器、圆规等常用尺规工具。</w:t>
                  </w:r>
                </w:p>
                <w:p>
                  <w:pPr>
                    <w:pStyle w:val="null3"/>
                    <w:jc w:val="both"/>
                  </w:pPr>
                  <w:r>
                    <w:rPr>
                      <w:rFonts w:ascii="仿宋_GB2312" w:hAnsi="仿宋_GB2312" w:cs="仿宋_GB2312" w:eastAsia="仿宋_GB2312"/>
                      <w:sz w:val="21"/>
                    </w:rPr>
                    <w:t>17、平面图形：支持绘制直线、六边形、箭头、平行四边形、等腰三角形、五角星、圆角矩形、矩形、圆形、梯形等常用基本图形。</w:t>
                  </w:r>
                </w:p>
                <w:p>
                  <w:pPr>
                    <w:pStyle w:val="null3"/>
                    <w:jc w:val="both"/>
                  </w:pPr>
                  <w:r>
                    <w:rPr>
                      <w:rFonts w:ascii="仿宋_GB2312" w:hAnsi="仿宋_GB2312" w:cs="仿宋_GB2312" w:eastAsia="仿宋_GB2312"/>
                      <w:sz w:val="21"/>
                    </w:rPr>
                    <w:t>18、几何图形：</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1）支持自由绘制立方体、圆柱体、圆锥等基本立体图形；</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2）支持调节几何体的大小尺寸；</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3）支持沿任意方向旋转立体几何，能够通过多角度旋转帮助理解立体结构；</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4）支持为几何体各面分别填涂颜色；</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5）几何体应具备辅助理解立体结构的功能，支持展开视图以帮助学生观察立体图形的平面构成。</w:t>
                  </w:r>
                </w:p>
                <w:p>
                  <w:pPr>
                    <w:pStyle w:val="null3"/>
                    <w:jc w:val="both"/>
                  </w:pPr>
                  <w:r>
                    <w:rPr>
                      <w:rFonts w:ascii="仿宋_GB2312" w:hAnsi="仿宋_GB2312" w:cs="仿宋_GB2312" w:eastAsia="仿宋_GB2312"/>
                      <w:sz w:val="21"/>
                    </w:rPr>
                    <w:t>19、函数图像：可快速生成包含一次函数、二次函数、幂函数、指数函数、对数函数以及三角函数等图像，支持在同一个坐标轴中添加不少于4个函数表达式。</w:t>
                  </w:r>
                </w:p>
                <w:p>
                  <w:pPr>
                    <w:pStyle w:val="null3"/>
                    <w:jc w:val="both"/>
                  </w:pPr>
                  <w:r>
                    <w:rPr>
                      <w:rFonts w:ascii="仿宋_GB2312" w:hAnsi="仿宋_GB2312" w:cs="仿宋_GB2312" w:eastAsia="仿宋_GB2312"/>
                      <w:sz w:val="21"/>
                    </w:rPr>
                    <w:t>20、数学公式：支持数学公式的编辑输入并插入白板，提供代数、几何等模板。</w:t>
                  </w:r>
                </w:p>
                <w:p>
                  <w:pPr>
                    <w:pStyle w:val="null3"/>
                    <w:jc w:val="both"/>
                  </w:pPr>
                  <w:r>
                    <w:rPr>
                      <w:rFonts w:ascii="仿宋_GB2312" w:hAnsi="仿宋_GB2312" w:cs="仿宋_GB2312" w:eastAsia="仿宋_GB2312"/>
                      <w:sz w:val="21"/>
                    </w:rPr>
                    <w:t>21、化学方程式：支持化学方程式编辑，提供元素智能关联提示功能。</w:t>
                  </w:r>
                </w:p>
                <w:p>
                  <w:pPr>
                    <w:pStyle w:val="null3"/>
                    <w:jc w:val="both"/>
                  </w:pPr>
                  <w:r>
                    <w:rPr>
                      <w:rFonts w:ascii="仿宋_GB2312" w:hAnsi="仿宋_GB2312" w:cs="仿宋_GB2312" w:eastAsia="仿宋_GB2312"/>
                      <w:sz w:val="21"/>
                    </w:rPr>
                    <w:t>22、元素周期表：支持查看原子序数、相对原子质量、原子结构示意图等信息。</w:t>
                  </w:r>
                </w:p>
                <w:p>
                  <w:pPr>
                    <w:pStyle w:val="null3"/>
                    <w:jc w:val="both"/>
                  </w:pPr>
                  <w:r>
                    <w:rPr>
                      <w:rFonts w:ascii="仿宋_GB2312" w:hAnsi="仿宋_GB2312" w:cs="仿宋_GB2312" w:eastAsia="仿宋_GB2312"/>
                      <w:sz w:val="21"/>
                    </w:rPr>
                    <w:t>23、浮动工具栏：在操作系统中需具备便捷调用的浮动工具栏。</w:t>
                  </w:r>
                </w:p>
                <w:p>
                  <w:pPr>
                    <w:pStyle w:val="null3"/>
                    <w:jc w:val="both"/>
                  </w:pPr>
                  <w:r>
                    <w:rPr>
                      <w:rFonts w:ascii="仿宋_GB2312" w:hAnsi="仿宋_GB2312" w:cs="仿宋_GB2312" w:eastAsia="仿宋_GB2312"/>
                      <w:sz w:val="21"/>
                    </w:rPr>
                    <w:t>（四）视频展台</w:t>
                  </w:r>
                </w:p>
                <w:p>
                  <w:pPr>
                    <w:pStyle w:val="null3"/>
                    <w:jc w:val="both"/>
                  </w:pPr>
                  <w:r>
                    <w:rPr>
                      <w:rFonts w:ascii="仿宋_GB2312" w:hAnsi="仿宋_GB2312" w:cs="仿宋_GB2312" w:eastAsia="仿宋_GB2312"/>
                      <w:sz w:val="21"/>
                    </w:rPr>
                    <w:t>1：整机采用无锐角无利边设计，有效防止师生碰伤、划伤。</w:t>
                  </w:r>
                </w:p>
                <w:p>
                  <w:pPr>
                    <w:pStyle w:val="null3"/>
                    <w:jc w:val="both"/>
                  </w:pPr>
                  <w:r>
                    <w:rPr>
                      <w:rFonts w:ascii="仿宋_GB2312" w:hAnsi="仿宋_GB2312" w:cs="仿宋_GB2312" w:eastAsia="仿宋_GB2312"/>
                      <w:sz w:val="21"/>
                    </w:rPr>
                    <w:t>2：所有边角均采用圆弧倒角设计；展开后可承托A4幅面及以上的试卷、教材等展示物。</w:t>
                  </w:r>
                </w:p>
                <w:p>
                  <w:pPr>
                    <w:pStyle w:val="null3"/>
                    <w:jc w:val="both"/>
                  </w:pPr>
                  <w:r>
                    <w:rPr>
                      <w:rFonts w:ascii="仿宋_GB2312" w:hAnsi="仿宋_GB2312" w:cs="仿宋_GB2312" w:eastAsia="仿宋_GB2312"/>
                      <w:sz w:val="21"/>
                    </w:rPr>
                    <w:t>3：摄像头像素≥1300万像素（或等效≥4K分辨率），可展示清晰画面。</w:t>
                  </w:r>
                </w:p>
                <w:p>
                  <w:pPr>
                    <w:pStyle w:val="null3"/>
                    <w:jc w:val="both"/>
                  </w:pPr>
                  <w:r>
                    <w:rPr>
                      <w:rFonts w:ascii="仿宋_GB2312" w:hAnsi="仿宋_GB2312" w:cs="仿宋_GB2312" w:eastAsia="仿宋_GB2312"/>
                      <w:sz w:val="21"/>
                    </w:rPr>
                    <w:t>4：采用USB电源直接供电，实现单根USB线同时满足供电及高清数据传输需求。</w:t>
                  </w:r>
                </w:p>
                <w:p>
                  <w:pPr>
                    <w:pStyle w:val="null3"/>
                    <w:jc w:val="both"/>
                  </w:pPr>
                  <w:r>
                    <w:rPr>
                      <w:rFonts w:ascii="仿宋_GB2312" w:hAnsi="仿宋_GB2312" w:cs="仿宋_GB2312" w:eastAsia="仿宋_GB2312"/>
                      <w:sz w:val="21"/>
                    </w:rPr>
                    <w:t>5：支持对实时画面及图片进行批注、划线标注；支持对展台画面联同批注内容进行同步缩放及移动。</w:t>
                  </w:r>
                </w:p>
                <w:p>
                  <w:pPr>
                    <w:pStyle w:val="null3"/>
                    <w:jc w:val="both"/>
                  </w:pPr>
                  <w:r>
                    <w:rPr>
                      <w:rFonts w:ascii="仿宋_GB2312" w:hAnsi="仿宋_GB2312" w:cs="仿宋_GB2312" w:eastAsia="仿宋_GB2312"/>
                      <w:sz w:val="21"/>
                    </w:rPr>
                    <w:t>6：支持将展台实时画面拍照或导入本地图片，形成图片列表，切换任意图片进行标注讲解。</w:t>
                  </w:r>
                </w:p>
                <w:p>
                  <w:pPr>
                    <w:pStyle w:val="null3"/>
                    <w:jc w:val="both"/>
                  </w:pPr>
                  <w:r>
                    <w:rPr>
                      <w:rFonts w:ascii="仿宋_GB2312" w:hAnsi="仿宋_GB2312" w:cs="仿宋_GB2312" w:eastAsia="仿宋_GB2312"/>
                      <w:sz w:val="21"/>
                    </w:rPr>
                    <w:t>7：支持图像亮度、对比度、色彩等基本调节。</w:t>
                  </w:r>
                </w:p>
                <w:p>
                  <w:pPr>
                    <w:pStyle w:val="null3"/>
                    <w:jc w:val="both"/>
                  </w:pPr>
                  <w:r>
                    <w:rPr>
                      <w:rFonts w:ascii="仿宋_GB2312" w:hAnsi="仿宋_GB2312" w:cs="仿宋_GB2312" w:eastAsia="仿宋_GB2312"/>
                      <w:sz w:val="21"/>
                    </w:rPr>
                    <w:t>8：支持图片、文档、文本等多媒体内容的展示与标注。支持对展台画面进行拍照或截图保存。</w:t>
                  </w:r>
                </w:p>
                <w:p>
                  <w:pPr>
                    <w:pStyle w:val="null3"/>
                    <w:jc w:val="both"/>
                  </w:pPr>
                  <w:r>
                    <w:rPr>
                      <w:rFonts w:ascii="仿宋_GB2312" w:hAnsi="仿宋_GB2312" w:cs="仿宋_GB2312" w:eastAsia="仿宋_GB2312"/>
                      <w:sz w:val="21"/>
                    </w:rPr>
                    <w:t>9：支持二维码扫码识别功能，可正确获取二维码链接内容。</w:t>
                  </w:r>
                </w:p>
                <w:p>
                  <w:pPr>
                    <w:pStyle w:val="null3"/>
                    <w:jc w:val="both"/>
                  </w:pPr>
                  <w:r>
                    <w:rPr>
                      <w:rFonts w:ascii="仿宋_GB2312" w:hAnsi="仿宋_GB2312" w:cs="仿宋_GB2312" w:eastAsia="仿宋_GB2312"/>
                      <w:sz w:val="21"/>
                    </w:rPr>
                    <w:t>10：支持在配套软件中设置视频展台的画面分辨率。</w:t>
                  </w:r>
                </w:p>
                <w:p>
                  <w:pPr>
                    <w:pStyle w:val="null3"/>
                    <w:jc w:val="both"/>
                  </w:pPr>
                  <w:r>
                    <w:rPr>
                      <w:rFonts w:ascii="仿宋_GB2312" w:hAnsi="仿宋_GB2312" w:cs="仿宋_GB2312" w:eastAsia="仿宋_GB2312"/>
                      <w:sz w:val="21"/>
                    </w:rPr>
                    <w:t>11：支持多画面同屏对比，可将多张拍摄图片进行静态并列对比，或将图片与实时镜头画面进行对比；对比状态下支持任意画面全屏展示、批注标注，返回对比状态时批注内容可同步缩放。</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桌子</w:t>
                  </w:r>
                </w:p>
                <w:p>
                  <w:pPr>
                    <w:pStyle w:val="null3"/>
                    <w:jc w:val="both"/>
                  </w:pPr>
                  <w:r>
                    <w:rPr>
                      <w:rFonts w:ascii="仿宋_GB2312" w:hAnsi="仿宋_GB2312" w:cs="仿宋_GB2312" w:eastAsia="仿宋_GB2312"/>
                      <w:sz w:val="21"/>
                    </w:rPr>
                    <w:t>凳子</w:t>
                  </w:r>
                </w:p>
              </w:tc>
              <w:tc>
                <w:tcPr>
                  <w:tcW w:type="dxa" w:w="2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 桌面</w:t>
                  </w:r>
                </w:p>
                <w:p>
                  <w:pPr>
                    <w:pStyle w:val="null3"/>
                    <w:jc w:val="both"/>
                  </w:pPr>
                  <w:r>
                    <w:rPr>
                      <w:rFonts w:ascii="仿宋_GB2312" w:hAnsi="仿宋_GB2312" w:cs="仿宋_GB2312" w:eastAsia="仿宋_GB2312"/>
                      <w:sz w:val="21"/>
                    </w:rPr>
                    <w:t>桌面外径尺寸：参考尺寸</w:t>
                  </w:r>
                  <w:r>
                    <w:rPr>
                      <w:rFonts w:ascii="仿宋_GB2312" w:hAnsi="仿宋_GB2312" w:cs="仿宋_GB2312" w:eastAsia="仿宋_GB2312"/>
                      <w:sz w:val="21"/>
                    </w:rPr>
                    <w:t>650mm×450mm，厚度不低于18mm。桌面材质为环保密度板，桌边采用工程塑料一次注塑封边成型，胸前处弧形设计。桌面中间上方设有笔槽，便于文具分类。桌面所有棱角及边缘部位应经倒圆处理。</w:t>
                  </w:r>
                </w:p>
                <w:p>
                  <w:pPr>
                    <w:pStyle w:val="null3"/>
                    <w:jc w:val="both"/>
                  </w:pPr>
                  <w:r>
                    <w:rPr>
                      <w:rFonts w:ascii="仿宋_GB2312" w:hAnsi="仿宋_GB2312" w:cs="仿宋_GB2312" w:eastAsia="仿宋_GB2312"/>
                      <w:sz w:val="21"/>
                    </w:rPr>
                    <w:t>2. 桌斗</w:t>
                  </w:r>
                </w:p>
                <w:p>
                  <w:pPr>
                    <w:pStyle w:val="null3"/>
                    <w:jc w:val="both"/>
                  </w:pPr>
                  <w:r>
                    <w:rPr>
                      <w:rFonts w:ascii="仿宋_GB2312" w:hAnsi="仿宋_GB2312" w:cs="仿宋_GB2312" w:eastAsia="仿宋_GB2312"/>
                      <w:sz w:val="21"/>
                    </w:rPr>
                    <w:t>桌斗内径：参考尺寸：长度</w:t>
                  </w:r>
                  <w:r>
                    <w:rPr>
                      <w:rFonts w:ascii="仿宋_GB2312" w:hAnsi="仿宋_GB2312" w:cs="仿宋_GB2312" w:eastAsia="仿宋_GB2312"/>
                      <w:sz w:val="21"/>
                    </w:rPr>
                    <w:t>500mm，宽度330mm，最大内高140mm。桌斗材质采用厚度不低于0.8mm的金属板材，一次冲压成型。桌斗底部应具有足够的承重能力，正常使用状态下不发生明显变形。</w:t>
                  </w:r>
                </w:p>
                <w:p>
                  <w:pPr>
                    <w:pStyle w:val="null3"/>
                    <w:jc w:val="both"/>
                  </w:pPr>
                  <w:r>
                    <w:rPr>
                      <w:rFonts w:ascii="仿宋_GB2312" w:hAnsi="仿宋_GB2312" w:cs="仿宋_GB2312" w:eastAsia="仿宋_GB2312"/>
                      <w:sz w:val="21"/>
                    </w:rPr>
                    <w:t>3. 桌架（升降结构）</w:t>
                  </w:r>
                </w:p>
                <w:p>
                  <w:pPr>
                    <w:pStyle w:val="null3"/>
                    <w:jc w:val="both"/>
                  </w:pPr>
                  <w:r>
                    <w:rPr>
                      <w:rFonts w:ascii="仿宋_GB2312" w:hAnsi="仿宋_GB2312" w:cs="仿宋_GB2312" w:eastAsia="仿宋_GB2312"/>
                      <w:sz w:val="21"/>
                    </w:rPr>
                    <w:t>桌子高度可调节范围（参考范围）：</w:t>
                  </w:r>
                  <w:r>
                    <w:rPr>
                      <w:rFonts w:ascii="仿宋_GB2312" w:hAnsi="仿宋_GB2312" w:cs="仿宋_GB2312" w:eastAsia="仿宋_GB2312"/>
                      <w:sz w:val="21"/>
                    </w:rPr>
                    <w:t>680mm～780mm。</w:t>
                  </w:r>
                </w:p>
                <w:p>
                  <w:pPr>
                    <w:pStyle w:val="null3"/>
                    <w:jc w:val="both"/>
                  </w:pPr>
                  <w:r>
                    <w:rPr>
                      <w:rFonts w:ascii="仿宋_GB2312" w:hAnsi="仿宋_GB2312" w:cs="仿宋_GB2312" w:eastAsia="仿宋_GB2312"/>
                      <w:sz w:val="21"/>
                    </w:rPr>
                    <w:t>桌子内升降管：采用椭圆钢管或矩形钢管，参考尺寸</w:t>
                  </w:r>
                  <w:r>
                    <w:rPr>
                      <w:rFonts w:ascii="仿宋_GB2312" w:hAnsi="仿宋_GB2312" w:cs="仿宋_GB2312" w:eastAsia="仿宋_GB2312"/>
                      <w:sz w:val="21"/>
                    </w:rPr>
                    <w:t>20mm×50mm，壁厚不低于1.2mm。</w:t>
                  </w:r>
                </w:p>
                <w:p>
                  <w:pPr>
                    <w:pStyle w:val="null3"/>
                    <w:jc w:val="both"/>
                  </w:pPr>
                  <w:r>
                    <w:rPr>
                      <w:rFonts w:ascii="仿宋_GB2312" w:hAnsi="仿宋_GB2312" w:cs="仿宋_GB2312" w:eastAsia="仿宋_GB2312"/>
                      <w:sz w:val="21"/>
                    </w:rPr>
                    <w:t>桌子下半部分及地角管：采用椭圆钢管或矩形钢管，参考尺寸</w:t>
                  </w:r>
                  <w:r>
                    <w:rPr>
                      <w:rFonts w:ascii="仿宋_GB2312" w:hAnsi="仿宋_GB2312" w:cs="仿宋_GB2312" w:eastAsia="仿宋_GB2312"/>
                      <w:sz w:val="21"/>
                    </w:rPr>
                    <w:t>30mm×60mm，壁厚不低于1.2mm。</w:t>
                  </w:r>
                </w:p>
                <w:p>
                  <w:pPr>
                    <w:pStyle w:val="null3"/>
                    <w:jc w:val="both"/>
                  </w:pPr>
                  <w:r>
                    <w:rPr>
                      <w:rFonts w:ascii="仿宋_GB2312" w:hAnsi="仿宋_GB2312" w:cs="仿宋_GB2312" w:eastAsia="仿宋_GB2312"/>
                      <w:sz w:val="21"/>
                    </w:rPr>
                    <w:t>下升降管与地角管接合处应采用可靠的焊接连接方式，焊接表面应圆滑平整，无焊渣及断焊现象。</w:t>
                  </w:r>
                </w:p>
                <w:p>
                  <w:pPr>
                    <w:pStyle w:val="null3"/>
                    <w:jc w:val="both"/>
                  </w:pPr>
                  <w:r>
                    <w:rPr>
                      <w:rFonts w:ascii="仿宋_GB2312" w:hAnsi="仿宋_GB2312" w:cs="仿宋_GB2312" w:eastAsia="仿宋_GB2312"/>
                      <w:sz w:val="21"/>
                    </w:rPr>
                    <w:t>桌子下半部设有置物框，方便放置书籍及个人物品。</w:t>
                  </w:r>
                </w:p>
                <w:p>
                  <w:pPr>
                    <w:pStyle w:val="null3"/>
                    <w:jc w:val="both"/>
                  </w:pPr>
                  <w:r>
                    <w:rPr>
                      <w:rFonts w:ascii="仿宋_GB2312" w:hAnsi="仿宋_GB2312" w:cs="仿宋_GB2312" w:eastAsia="仿宋_GB2312"/>
                      <w:sz w:val="21"/>
                    </w:rPr>
                    <w:t>4. 凳面</w:t>
                  </w:r>
                </w:p>
                <w:p>
                  <w:pPr>
                    <w:pStyle w:val="null3"/>
                    <w:jc w:val="both"/>
                  </w:pPr>
                  <w:r>
                    <w:rPr>
                      <w:rFonts w:ascii="仿宋_GB2312" w:hAnsi="仿宋_GB2312" w:cs="仿宋_GB2312" w:eastAsia="仿宋_GB2312"/>
                      <w:sz w:val="21"/>
                    </w:rPr>
                    <w:t>凳子升降高度可调节范围（参考范围）：</w:t>
                  </w:r>
                  <w:r>
                    <w:rPr>
                      <w:rFonts w:ascii="仿宋_GB2312" w:hAnsi="仿宋_GB2312" w:cs="仿宋_GB2312" w:eastAsia="仿宋_GB2312"/>
                      <w:sz w:val="21"/>
                    </w:rPr>
                    <w:t>360mm～440mm。</w:t>
                  </w:r>
                </w:p>
                <w:p>
                  <w:pPr>
                    <w:pStyle w:val="null3"/>
                    <w:jc w:val="both"/>
                  </w:pPr>
                  <w:r>
                    <w:rPr>
                      <w:rFonts w:ascii="仿宋_GB2312" w:hAnsi="仿宋_GB2312" w:cs="仿宋_GB2312" w:eastAsia="仿宋_GB2312"/>
                      <w:sz w:val="21"/>
                    </w:rPr>
                    <w:t>凳子坐板尺寸（参考</w:t>
                  </w:r>
                  <w:r>
                    <w:rPr>
                      <w:rFonts w:ascii="仿宋_GB2312" w:hAnsi="仿宋_GB2312" w:cs="仿宋_GB2312" w:eastAsia="仿宋_GB2312"/>
                      <w:sz w:val="21"/>
                    </w:rPr>
                    <w:t>)：宽度370mm，深度270mm。凳面材质采用全新环保PP工程塑料，高压注塑成型。</w:t>
                  </w:r>
                </w:p>
                <w:p>
                  <w:pPr>
                    <w:pStyle w:val="null3"/>
                    <w:jc w:val="both"/>
                  </w:pPr>
                  <w:r>
                    <w:rPr>
                      <w:rFonts w:ascii="仿宋_GB2312" w:hAnsi="仿宋_GB2312" w:cs="仿宋_GB2312" w:eastAsia="仿宋_GB2312"/>
                      <w:sz w:val="21"/>
                    </w:rPr>
                    <w:t>5. 凳架（升降结构）</w:t>
                  </w:r>
                </w:p>
                <w:p>
                  <w:pPr>
                    <w:pStyle w:val="null3"/>
                    <w:jc w:val="both"/>
                  </w:pPr>
                  <w:r>
                    <w:rPr>
                      <w:rFonts w:ascii="仿宋_GB2312" w:hAnsi="仿宋_GB2312" w:cs="仿宋_GB2312" w:eastAsia="仿宋_GB2312"/>
                      <w:sz w:val="21"/>
                    </w:rPr>
                    <w:t>凳子内升降管：采用椭圆钢管或矩形钢管，参考尺寸</w:t>
                  </w:r>
                  <w:r>
                    <w:rPr>
                      <w:rFonts w:ascii="仿宋_GB2312" w:hAnsi="仿宋_GB2312" w:cs="仿宋_GB2312" w:eastAsia="仿宋_GB2312"/>
                      <w:sz w:val="21"/>
                    </w:rPr>
                    <w:t>20mm×50mm，壁厚不低于1.2mm。</w:t>
                  </w:r>
                </w:p>
                <w:p>
                  <w:pPr>
                    <w:pStyle w:val="null3"/>
                    <w:jc w:val="both"/>
                  </w:pPr>
                  <w:r>
                    <w:rPr>
                      <w:rFonts w:ascii="仿宋_GB2312" w:hAnsi="仿宋_GB2312" w:cs="仿宋_GB2312" w:eastAsia="仿宋_GB2312"/>
                      <w:sz w:val="21"/>
                    </w:rPr>
                    <w:t>凳子下半部及地角管：采用椭圆钢管或矩形钢管，参考尺寸</w:t>
                  </w:r>
                  <w:r>
                    <w:rPr>
                      <w:rFonts w:ascii="仿宋_GB2312" w:hAnsi="仿宋_GB2312" w:cs="仿宋_GB2312" w:eastAsia="仿宋_GB2312"/>
                      <w:sz w:val="21"/>
                    </w:rPr>
                    <w:t>30mm×60mm，壁厚不低于1.2mm。</w:t>
                  </w:r>
                </w:p>
                <w:p>
                  <w:pPr>
                    <w:pStyle w:val="null3"/>
                    <w:jc w:val="both"/>
                  </w:pPr>
                  <w:r>
                    <w:rPr>
                      <w:rFonts w:ascii="仿宋_GB2312" w:hAnsi="仿宋_GB2312" w:cs="仿宋_GB2312" w:eastAsia="仿宋_GB2312"/>
                      <w:sz w:val="21"/>
                    </w:rPr>
                    <w:t>下升降管与地角管接合处应采用可靠的焊接连接方式。</w:t>
                  </w:r>
                </w:p>
                <w:p>
                  <w:pPr>
                    <w:pStyle w:val="null3"/>
                    <w:jc w:val="both"/>
                  </w:pPr>
                  <w:r>
                    <w:rPr>
                      <w:rFonts w:ascii="仿宋_GB2312" w:hAnsi="仿宋_GB2312" w:cs="仿宋_GB2312" w:eastAsia="仿宋_GB2312"/>
                      <w:sz w:val="21"/>
                    </w:rPr>
                    <w:t>座板和靠背板材质：环保全新</w:t>
                  </w:r>
                  <w:r>
                    <w:rPr>
                      <w:rFonts w:ascii="仿宋_GB2312" w:hAnsi="仿宋_GB2312" w:cs="仿宋_GB2312" w:eastAsia="仿宋_GB2312"/>
                      <w:sz w:val="21"/>
                    </w:rPr>
                    <w:t>PP工程塑料材质，一次注塑成型。</w:t>
                  </w:r>
                </w:p>
                <w:p>
                  <w:pPr>
                    <w:pStyle w:val="null3"/>
                    <w:jc w:val="both"/>
                  </w:pPr>
                  <w:r>
                    <w:rPr>
                      <w:rFonts w:ascii="仿宋_GB2312" w:hAnsi="仿宋_GB2312" w:cs="仿宋_GB2312" w:eastAsia="仿宋_GB2312"/>
                      <w:sz w:val="21"/>
                    </w:rPr>
                    <w:t>6. 桌椅地脚套</w:t>
                  </w:r>
                </w:p>
                <w:p>
                  <w:pPr>
                    <w:pStyle w:val="null3"/>
                    <w:jc w:val="both"/>
                  </w:pPr>
                  <w:r>
                    <w:rPr>
                      <w:rFonts w:ascii="仿宋_GB2312" w:hAnsi="仿宋_GB2312" w:cs="仿宋_GB2312" w:eastAsia="仿宋_GB2312"/>
                      <w:sz w:val="21"/>
                    </w:rPr>
                    <w:t>桌椅地脚套底部总宽、总高、总长应与钢架管材匹配，材质为环保全新</w:t>
                  </w:r>
                  <w:r>
                    <w:rPr>
                      <w:rFonts w:ascii="仿宋_GB2312" w:hAnsi="仿宋_GB2312" w:cs="仿宋_GB2312" w:eastAsia="仿宋_GB2312"/>
                      <w:sz w:val="21"/>
                    </w:rPr>
                    <w:t>PP工程塑料，具备防滑、耐磨、静音等基本功能。</w:t>
                  </w:r>
                </w:p>
                <w:p>
                  <w:pPr>
                    <w:pStyle w:val="null3"/>
                    <w:jc w:val="both"/>
                  </w:pPr>
                  <w:r>
                    <w:rPr>
                      <w:rFonts w:ascii="仿宋_GB2312" w:hAnsi="仿宋_GB2312" w:cs="仿宋_GB2312" w:eastAsia="仿宋_GB2312"/>
                      <w:sz w:val="21"/>
                    </w:rPr>
                    <w:t>7. 钢架工艺要求</w:t>
                  </w:r>
                </w:p>
                <w:p>
                  <w:pPr>
                    <w:pStyle w:val="null3"/>
                    <w:jc w:val="both"/>
                  </w:pPr>
                  <w:r>
                    <w:rPr>
                      <w:rFonts w:ascii="仿宋_GB2312" w:hAnsi="仿宋_GB2312" w:cs="仿宋_GB2312" w:eastAsia="仿宋_GB2312"/>
                      <w:sz w:val="21"/>
                    </w:rPr>
                    <w:t>桌椅钢架焊接处应表面圆滑平整，无焊渣及断焊现象。所有金属部件应经酸洗、磷化等前处理后静电喷塑处理，表面色泽均匀，耐磨性良好，符合环保安全要求。</w:t>
                  </w:r>
                </w:p>
                <w:p>
                  <w:pPr>
                    <w:pStyle w:val="null3"/>
                    <w:jc w:val="both"/>
                  </w:pPr>
                  <w:r>
                    <w:rPr>
                      <w:rFonts w:ascii="仿宋_GB2312" w:hAnsi="仿宋_GB2312" w:cs="仿宋_GB2312" w:eastAsia="仿宋_GB2312"/>
                      <w:sz w:val="21"/>
                    </w:rPr>
                    <w:t>8. 技术标准合规性</w:t>
                  </w:r>
                </w:p>
                <w:p>
                  <w:pPr>
                    <w:pStyle w:val="null3"/>
                    <w:jc w:val="both"/>
                  </w:pPr>
                  <w:r>
                    <w:rPr>
                      <w:rFonts w:ascii="仿宋_GB2312" w:hAnsi="仿宋_GB2312" w:cs="仿宋_GB2312" w:eastAsia="仿宋_GB2312"/>
                      <w:sz w:val="21"/>
                    </w:rPr>
                    <w:t>所有产品应符合国家标准</w:t>
                  </w:r>
                  <w:r>
                    <w:rPr>
                      <w:rFonts w:ascii="仿宋_GB2312" w:hAnsi="仿宋_GB2312" w:cs="仿宋_GB2312" w:eastAsia="仿宋_GB2312"/>
                      <w:sz w:val="21"/>
                    </w:rPr>
                    <w:t>GB/T 3976-2014《学校课桌椅功能尺寸及技术要求》的相关规定-。产品板材甲醛释放量应符合GB 18580-2017等相关国家环保标准（E1级及以上）。金属部件防锈、焊接质量等应符合相应的国家或行业标准。</w:t>
                  </w:r>
                </w:p>
                <w:p>
                  <w:pPr>
                    <w:pStyle w:val="null3"/>
                    <w:jc w:val="both"/>
                  </w:pPr>
                  <w:r>
                    <w:rPr>
                      <w:rFonts w:ascii="仿宋_GB2312" w:hAnsi="仿宋_GB2312" w:cs="仿宋_GB2312" w:eastAsia="仿宋_GB2312"/>
                      <w:sz w:val="21"/>
                    </w:rPr>
                    <w:t>9. 安全要求</w:t>
                  </w:r>
                </w:p>
                <w:p>
                  <w:pPr>
                    <w:pStyle w:val="null3"/>
                    <w:jc w:val="both"/>
                  </w:pPr>
                  <w:r>
                    <w:rPr>
                      <w:rFonts w:ascii="仿宋_GB2312" w:hAnsi="仿宋_GB2312" w:cs="仿宋_GB2312" w:eastAsia="仿宋_GB2312"/>
                      <w:sz w:val="21"/>
                    </w:rPr>
                    <w:t>产品所有可触及边缘均应倒圆或倒角处理，不得有锐利边缘或毛刺。桌椅结构应稳固，无倾倒隐患，各活动连接部件应牢固可靠。</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LED黑板灯</w:t>
                  </w:r>
                  <w:r>
                    <w:rPr>
                      <w:rFonts w:ascii="仿宋_GB2312" w:hAnsi="仿宋_GB2312" w:cs="仿宋_GB2312" w:eastAsia="仿宋_GB2312"/>
                      <w:sz w:val="21"/>
                    </w:rPr>
                    <w:t>（</w:t>
                  </w:r>
                  <w:r>
                    <w:rPr>
                      <w:rFonts w:ascii="仿宋_GB2312" w:hAnsi="仿宋_GB2312" w:cs="仿宋_GB2312" w:eastAsia="仿宋_GB2312"/>
                      <w:sz w:val="21"/>
                    </w:rPr>
                    <w:t>环境标志产品</w:t>
                  </w:r>
                  <w:r>
                    <w:rPr>
                      <w:rFonts w:ascii="仿宋_GB2312" w:hAnsi="仿宋_GB2312" w:cs="仿宋_GB2312" w:eastAsia="仿宋_GB2312"/>
                      <w:sz w:val="21"/>
                    </w:rPr>
                    <w:t>）</w:t>
                  </w:r>
                </w:p>
              </w:tc>
              <w:tc>
                <w:tcPr>
                  <w:tcW w:type="dxa" w:w="2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w:t>
                  </w:r>
                  <w:r>
                    <w:rPr>
                      <w:rFonts w:ascii="仿宋_GB2312" w:hAnsi="仿宋_GB2312" w:cs="仿宋_GB2312" w:eastAsia="仿宋_GB2312"/>
                      <w:sz w:val="21"/>
                    </w:rPr>
                    <w:t>LED黑板灯</w:t>
                  </w:r>
                </w:p>
                <w:p>
                  <w:pPr>
                    <w:pStyle w:val="null3"/>
                    <w:jc w:val="both"/>
                  </w:pPr>
                  <w:r>
                    <w:rPr>
                      <w:rFonts w:ascii="仿宋_GB2312" w:hAnsi="仿宋_GB2312" w:cs="仿宋_GB2312" w:eastAsia="仿宋_GB2312"/>
                      <w:sz w:val="21"/>
                    </w:rPr>
                    <w:t>光源类型：</w:t>
                  </w:r>
                  <w:r>
                    <w:rPr>
                      <w:rFonts w:ascii="仿宋_GB2312" w:hAnsi="仿宋_GB2312" w:cs="仿宋_GB2312" w:eastAsia="仿宋_GB2312"/>
                      <w:sz w:val="21"/>
                    </w:rPr>
                    <w:t>LED（全光谱或高显色LED芯片，封装形式不限）</w:t>
                  </w:r>
                </w:p>
                <w:p>
                  <w:pPr>
                    <w:pStyle w:val="null3"/>
                    <w:jc w:val="both"/>
                  </w:pPr>
                  <w:r>
                    <w:rPr>
                      <w:rFonts w:ascii="仿宋_GB2312" w:hAnsi="仿宋_GB2312" w:cs="仿宋_GB2312" w:eastAsia="仿宋_GB2312"/>
                      <w:sz w:val="21"/>
                    </w:rPr>
                    <w:t>功率：</w:t>
                  </w:r>
                  <w:r>
                    <w:rPr>
                      <w:rFonts w:ascii="仿宋_GB2312" w:hAnsi="仿宋_GB2312" w:cs="仿宋_GB2312" w:eastAsia="仿宋_GB2312"/>
                      <w:sz w:val="21"/>
                    </w:rPr>
                    <w:t>≤40W</w:t>
                  </w:r>
                </w:p>
                <w:p>
                  <w:pPr>
                    <w:pStyle w:val="null3"/>
                    <w:jc w:val="both"/>
                  </w:pPr>
                  <w:r>
                    <w:rPr>
                      <w:rFonts w:ascii="仿宋_GB2312" w:hAnsi="仿宋_GB2312" w:cs="仿宋_GB2312" w:eastAsia="仿宋_GB2312"/>
                      <w:sz w:val="21"/>
                    </w:rPr>
                    <w:t>显色指数：</w:t>
                  </w:r>
                  <w:r>
                    <w:rPr>
                      <w:rFonts w:ascii="仿宋_GB2312" w:hAnsi="仿宋_GB2312" w:cs="仿宋_GB2312" w:eastAsia="仿宋_GB2312"/>
                      <w:sz w:val="21"/>
                    </w:rPr>
                    <w:t>Ra ≥90，R9 ≥50</w:t>
                  </w:r>
                </w:p>
                <w:p>
                  <w:pPr>
                    <w:pStyle w:val="null3"/>
                    <w:jc w:val="both"/>
                  </w:pPr>
                  <w:r>
                    <w:rPr>
                      <w:rFonts w:ascii="仿宋_GB2312" w:hAnsi="仿宋_GB2312" w:cs="仿宋_GB2312" w:eastAsia="仿宋_GB2312"/>
                      <w:sz w:val="21"/>
                    </w:rPr>
                    <w:t>色温：</w:t>
                  </w:r>
                  <w:r>
                    <w:rPr>
                      <w:rFonts w:ascii="仿宋_GB2312" w:hAnsi="仿宋_GB2312" w:cs="仿宋_GB2312" w:eastAsia="仿宋_GB2312"/>
                      <w:sz w:val="21"/>
                    </w:rPr>
                    <w:t>5000K ± 300K</w:t>
                  </w:r>
                </w:p>
                <w:p>
                  <w:pPr>
                    <w:pStyle w:val="null3"/>
                    <w:jc w:val="both"/>
                  </w:pPr>
                  <w:r>
                    <w:rPr>
                      <w:rFonts w:ascii="仿宋_GB2312" w:hAnsi="仿宋_GB2312" w:cs="仿宋_GB2312" w:eastAsia="仿宋_GB2312"/>
                      <w:sz w:val="21"/>
                    </w:rPr>
                    <w:t>光通量：</w:t>
                  </w:r>
                  <w:r>
                    <w:rPr>
                      <w:rFonts w:ascii="仿宋_GB2312" w:hAnsi="仿宋_GB2312" w:cs="仿宋_GB2312" w:eastAsia="仿宋_GB2312"/>
                      <w:sz w:val="21"/>
                    </w:rPr>
                    <w:t>≥3600lm</w:t>
                  </w:r>
                </w:p>
                <w:p>
                  <w:pPr>
                    <w:pStyle w:val="null3"/>
                    <w:jc w:val="both"/>
                  </w:pPr>
                  <w:r>
                    <w:rPr>
                      <w:rFonts w:ascii="仿宋_GB2312" w:hAnsi="仿宋_GB2312" w:cs="仿宋_GB2312" w:eastAsia="仿宋_GB2312"/>
                      <w:sz w:val="21"/>
                    </w:rPr>
                    <w:t>整灯光效：</w:t>
                  </w:r>
                  <w:r>
                    <w:rPr>
                      <w:rFonts w:ascii="仿宋_GB2312" w:hAnsi="仿宋_GB2312" w:cs="仿宋_GB2312" w:eastAsia="仿宋_GB2312"/>
                      <w:sz w:val="21"/>
                    </w:rPr>
                    <w:t>≥90lm/W</w:t>
                  </w:r>
                </w:p>
                <w:p>
                  <w:pPr>
                    <w:pStyle w:val="null3"/>
                    <w:jc w:val="both"/>
                  </w:pPr>
                  <w:r>
                    <w:rPr>
                      <w:rFonts w:ascii="仿宋_GB2312" w:hAnsi="仿宋_GB2312" w:cs="仿宋_GB2312" w:eastAsia="仿宋_GB2312"/>
                      <w:sz w:val="21"/>
                    </w:rPr>
                    <w:t>防护等级：</w:t>
                  </w:r>
                  <w:r>
                    <w:rPr>
                      <w:rFonts w:ascii="仿宋_GB2312" w:hAnsi="仿宋_GB2312" w:cs="仿宋_GB2312" w:eastAsia="仿宋_GB2312"/>
                      <w:sz w:val="21"/>
                    </w:rPr>
                    <w:t>≥IP40</w:t>
                  </w:r>
                </w:p>
                <w:p>
                  <w:pPr>
                    <w:pStyle w:val="null3"/>
                    <w:jc w:val="both"/>
                  </w:pPr>
                  <w:r>
                    <w:rPr>
                      <w:rFonts w:ascii="仿宋_GB2312" w:hAnsi="仿宋_GB2312" w:cs="仿宋_GB2312" w:eastAsia="仿宋_GB2312"/>
                      <w:sz w:val="21"/>
                    </w:rPr>
                    <w:t>蓝光危害等级：</w:t>
                  </w:r>
                  <w:r>
                    <w:rPr>
                      <w:rFonts w:ascii="仿宋_GB2312" w:hAnsi="仿宋_GB2312" w:cs="仿宋_GB2312" w:eastAsia="仿宋_GB2312"/>
                      <w:sz w:val="21"/>
                    </w:rPr>
                    <w:t>RG0豁免级</w:t>
                  </w:r>
                </w:p>
                <w:p>
                  <w:pPr>
                    <w:pStyle w:val="null3"/>
                    <w:jc w:val="both"/>
                  </w:pPr>
                  <w:r>
                    <w:rPr>
                      <w:rFonts w:ascii="仿宋_GB2312" w:hAnsi="仿宋_GB2312" w:cs="仿宋_GB2312" w:eastAsia="仿宋_GB2312"/>
                      <w:sz w:val="21"/>
                    </w:rPr>
                    <w:t>眩光值（</w:t>
                  </w:r>
                  <w:r>
                    <w:rPr>
                      <w:rFonts w:ascii="仿宋_GB2312" w:hAnsi="仿宋_GB2312" w:cs="仿宋_GB2312" w:eastAsia="仿宋_GB2312"/>
                      <w:sz w:val="21"/>
                    </w:rPr>
                    <w:t>UGR）：≤19</w:t>
                  </w:r>
                </w:p>
                <w:p>
                  <w:pPr>
                    <w:pStyle w:val="null3"/>
                    <w:jc w:val="both"/>
                  </w:pPr>
                  <w:r>
                    <w:rPr>
                      <w:rFonts w:ascii="仿宋_GB2312" w:hAnsi="仿宋_GB2312" w:cs="仿宋_GB2312" w:eastAsia="仿宋_GB2312"/>
                      <w:sz w:val="21"/>
                    </w:rPr>
                    <w:t>防眩设计：灯具应配置格栅或防眩透镜等防眩光结构</w:t>
                  </w:r>
                </w:p>
                <w:p>
                  <w:pPr>
                    <w:pStyle w:val="null3"/>
                    <w:jc w:val="both"/>
                  </w:pPr>
                  <w:r>
                    <w:rPr>
                      <w:rFonts w:ascii="仿宋_GB2312" w:hAnsi="仿宋_GB2312" w:cs="仿宋_GB2312" w:eastAsia="仿宋_GB2312"/>
                      <w:sz w:val="21"/>
                    </w:rPr>
                    <w:t>配光要求：采用偏光非对称配光设计，确保黑板垂直面照度均匀性符合</w:t>
                  </w:r>
                  <w:r>
                    <w:rPr>
                      <w:rFonts w:ascii="仿宋_GB2312" w:hAnsi="仿宋_GB2312" w:cs="仿宋_GB2312" w:eastAsia="仿宋_GB2312"/>
                      <w:sz w:val="21"/>
                    </w:rPr>
                    <w:t>GB 7793-2010规定（维持照度≥500Lux，均匀度≥0.8）-驱动电源：具备过压、过流、短路三重保护功能</w:t>
                  </w:r>
                </w:p>
                <w:p>
                  <w:pPr>
                    <w:pStyle w:val="null3"/>
                    <w:jc w:val="both"/>
                  </w:pPr>
                  <w:r>
                    <w:rPr>
                      <w:rFonts w:ascii="仿宋_GB2312" w:hAnsi="仿宋_GB2312" w:cs="仿宋_GB2312" w:eastAsia="仿宋_GB2312"/>
                      <w:sz w:val="21"/>
                    </w:rPr>
                    <w:t>面罩材质：高透光率</w:t>
                  </w:r>
                  <w:r>
                    <w:rPr>
                      <w:rFonts w:ascii="仿宋_GB2312" w:hAnsi="仿宋_GB2312" w:cs="仿宋_GB2312" w:eastAsia="仿宋_GB2312"/>
                      <w:sz w:val="21"/>
                    </w:rPr>
                    <w:t>PC扩散罩或同等及以上材质</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72</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LED护眼教室灯</w:t>
                  </w:r>
                  <w:r>
                    <w:rPr>
                      <w:rFonts w:ascii="仿宋_GB2312" w:hAnsi="仿宋_GB2312" w:cs="仿宋_GB2312" w:eastAsia="仿宋_GB2312"/>
                      <w:sz w:val="21"/>
                    </w:rPr>
                    <w:t>（</w:t>
                  </w:r>
                  <w:r>
                    <w:rPr>
                      <w:rFonts w:ascii="仿宋_GB2312" w:hAnsi="仿宋_GB2312" w:cs="仿宋_GB2312" w:eastAsia="仿宋_GB2312"/>
                      <w:sz w:val="21"/>
                    </w:rPr>
                    <w:t>环境标志产品</w:t>
                  </w:r>
                  <w:r>
                    <w:rPr>
                      <w:rFonts w:ascii="仿宋_GB2312" w:hAnsi="仿宋_GB2312" w:cs="仿宋_GB2312" w:eastAsia="仿宋_GB2312"/>
                      <w:sz w:val="21"/>
                    </w:rPr>
                    <w:t>）</w:t>
                  </w:r>
                </w:p>
              </w:tc>
              <w:tc>
                <w:tcPr>
                  <w:tcW w:type="dxa" w:w="2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w:t>
                  </w:r>
                  <w:r>
                    <w:rPr>
                      <w:rFonts w:ascii="仿宋_GB2312" w:hAnsi="仿宋_GB2312" w:cs="仿宋_GB2312" w:eastAsia="仿宋_GB2312"/>
                      <w:sz w:val="21"/>
                    </w:rPr>
                    <w:t>LED护眼教室灯</w:t>
                  </w:r>
                </w:p>
                <w:p>
                  <w:pPr>
                    <w:pStyle w:val="null3"/>
                    <w:jc w:val="both"/>
                  </w:pPr>
                  <w:r>
                    <w:rPr>
                      <w:rFonts w:ascii="仿宋_GB2312" w:hAnsi="仿宋_GB2312" w:cs="仿宋_GB2312" w:eastAsia="仿宋_GB2312"/>
                      <w:sz w:val="21"/>
                    </w:rPr>
                    <w:t>功率：</w:t>
                  </w:r>
                  <w:r>
                    <w:rPr>
                      <w:rFonts w:ascii="仿宋_GB2312" w:hAnsi="仿宋_GB2312" w:cs="仿宋_GB2312" w:eastAsia="仿宋_GB2312"/>
                      <w:sz w:val="21"/>
                    </w:rPr>
                    <w:t>36W ± 5W（或整体功率范围明确）</w:t>
                  </w:r>
                </w:p>
                <w:p>
                  <w:pPr>
                    <w:pStyle w:val="null3"/>
                    <w:jc w:val="both"/>
                  </w:pPr>
                  <w:r>
                    <w:rPr>
                      <w:rFonts w:ascii="仿宋_GB2312" w:hAnsi="仿宋_GB2312" w:cs="仿宋_GB2312" w:eastAsia="仿宋_GB2312"/>
                      <w:sz w:val="21"/>
                    </w:rPr>
                    <w:t>光通量：</w:t>
                  </w:r>
                  <w:r>
                    <w:rPr>
                      <w:rFonts w:ascii="仿宋_GB2312" w:hAnsi="仿宋_GB2312" w:cs="仿宋_GB2312" w:eastAsia="仿宋_GB2312"/>
                      <w:sz w:val="21"/>
                    </w:rPr>
                    <w:t>≥3000lm</w:t>
                  </w:r>
                </w:p>
                <w:p>
                  <w:pPr>
                    <w:pStyle w:val="null3"/>
                    <w:jc w:val="both"/>
                  </w:pPr>
                  <w:r>
                    <w:rPr>
                      <w:rFonts w:ascii="仿宋_GB2312" w:hAnsi="仿宋_GB2312" w:cs="仿宋_GB2312" w:eastAsia="仿宋_GB2312"/>
                      <w:sz w:val="21"/>
                    </w:rPr>
                    <w:t>显色指数：</w:t>
                  </w:r>
                  <w:r>
                    <w:rPr>
                      <w:rFonts w:ascii="仿宋_GB2312" w:hAnsi="仿宋_GB2312" w:cs="仿宋_GB2312" w:eastAsia="仿宋_GB2312"/>
                      <w:sz w:val="21"/>
                    </w:rPr>
                    <w:t>Ra ≥95，R9 ≥75</w:t>
                  </w:r>
                </w:p>
                <w:p>
                  <w:pPr>
                    <w:pStyle w:val="null3"/>
                    <w:jc w:val="both"/>
                  </w:pPr>
                  <w:r>
                    <w:rPr>
                      <w:rFonts w:ascii="仿宋_GB2312" w:hAnsi="仿宋_GB2312" w:cs="仿宋_GB2312" w:eastAsia="仿宋_GB2312"/>
                      <w:sz w:val="21"/>
                    </w:rPr>
                    <w:t>色温：</w:t>
                  </w:r>
                  <w:r>
                    <w:rPr>
                      <w:rFonts w:ascii="仿宋_GB2312" w:hAnsi="仿宋_GB2312" w:cs="仿宋_GB2312" w:eastAsia="仿宋_GB2312"/>
                      <w:sz w:val="21"/>
                    </w:rPr>
                    <w:t>4000K—5000K</w:t>
                  </w:r>
                </w:p>
                <w:p>
                  <w:pPr>
                    <w:pStyle w:val="null3"/>
                    <w:jc w:val="both"/>
                  </w:pPr>
                  <w:r>
                    <w:rPr>
                      <w:rFonts w:ascii="仿宋_GB2312" w:hAnsi="仿宋_GB2312" w:cs="仿宋_GB2312" w:eastAsia="仿宋_GB2312"/>
                      <w:sz w:val="21"/>
                    </w:rPr>
                    <w:t>防眩指数（</w:t>
                  </w:r>
                  <w:r>
                    <w:rPr>
                      <w:rFonts w:ascii="仿宋_GB2312" w:hAnsi="仿宋_GB2312" w:cs="仿宋_GB2312" w:eastAsia="仿宋_GB2312"/>
                      <w:sz w:val="21"/>
                    </w:rPr>
                    <w:t>UGR）：≤16</w:t>
                  </w:r>
                </w:p>
                <w:p>
                  <w:pPr>
                    <w:pStyle w:val="null3"/>
                    <w:jc w:val="both"/>
                  </w:pPr>
                  <w:r>
                    <w:rPr>
                      <w:rFonts w:ascii="仿宋_GB2312" w:hAnsi="仿宋_GB2312" w:cs="仿宋_GB2312" w:eastAsia="仿宋_GB2312"/>
                      <w:sz w:val="21"/>
                    </w:rPr>
                    <w:t>蓝光危害等级：</w:t>
                  </w:r>
                  <w:r>
                    <w:rPr>
                      <w:rFonts w:ascii="仿宋_GB2312" w:hAnsi="仿宋_GB2312" w:cs="仿宋_GB2312" w:eastAsia="仿宋_GB2312"/>
                      <w:sz w:val="21"/>
                    </w:rPr>
                    <w:t>RG0豁免级</w:t>
                  </w:r>
                </w:p>
                <w:p>
                  <w:pPr>
                    <w:pStyle w:val="null3"/>
                    <w:jc w:val="both"/>
                  </w:pPr>
                  <w:r>
                    <w:rPr>
                      <w:rFonts w:ascii="仿宋_GB2312" w:hAnsi="仿宋_GB2312" w:cs="仿宋_GB2312" w:eastAsia="仿宋_GB2312"/>
                      <w:sz w:val="21"/>
                    </w:rPr>
                    <w:t>功率因数：</w:t>
                  </w:r>
                  <w:r>
                    <w:rPr>
                      <w:rFonts w:ascii="仿宋_GB2312" w:hAnsi="仿宋_GB2312" w:cs="仿宋_GB2312" w:eastAsia="仿宋_GB2312"/>
                      <w:sz w:val="21"/>
                    </w:rPr>
                    <w:t>≥0.90</w:t>
                  </w:r>
                </w:p>
                <w:p>
                  <w:pPr>
                    <w:pStyle w:val="null3"/>
                    <w:jc w:val="both"/>
                  </w:pPr>
                  <w:r>
                    <w:rPr>
                      <w:rFonts w:ascii="仿宋_GB2312" w:hAnsi="仿宋_GB2312" w:cs="仿宋_GB2312" w:eastAsia="仿宋_GB2312"/>
                      <w:sz w:val="21"/>
                    </w:rPr>
                    <w:t>频闪要求：无显著频闪影响</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216</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消毒灯</w:t>
                  </w:r>
                </w:p>
              </w:tc>
              <w:tc>
                <w:tcPr>
                  <w:tcW w:type="dxa" w:w="2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名称：紫外线消毒灯</w:t>
                  </w:r>
                </w:p>
                <w:p>
                  <w:pPr>
                    <w:pStyle w:val="null3"/>
                    <w:jc w:val="both"/>
                  </w:pPr>
                  <w:r>
                    <w:rPr>
                      <w:rFonts w:ascii="仿宋_GB2312" w:hAnsi="仿宋_GB2312" w:cs="仿宋_GB2312" w:eastAsia="仿宋_GB2312"/>
                      <w:sz w:val="21"/>
                    </w:rPr>
                    <w:t>光源类型：紫外线光源（灯管类型：石英玻璃灯管）</w:t>
                  </w:r>
                </w:p>
                <w:p>
                  <w:pPr>
                    <w:pStyle w:val="null3"/>
                    <w:jc w:val="both"/>
                  </w:pPr>
                  <w:r>
                    <w:rPr>
                      <w:rFonts w:ascii="仿宋_GB2312" w:hAnsi="仿宋_GB2312" w:cs="仿宋_GB2312" w:eastAsia="仿宋_GB2312"/>
                      <w:sz w:val="21"/>
                    </w:rPr>
                    <w:t>功率：</w:t>
                  </w:r>
                  <w:r>
                    <w:rPr>
                      <w:rFonts w:ascii="仿宋_GB2312" w:hAnsi="仿宋_GB2312" w:cs="仿宋_GB2312" w:eastAsia="仿宋_GB2312"/>
                      <w:sz w:val="21"/>
                    </w:rPr>
                    <w:t>30W—40W（含）</w:t>
                  </w:r>
                </w:p>
                <w:p>
                  <w:pPr>
                    <w:pStyle w:val="null3"/>
                    <w:jc w:val="both"/>
                  </w:pPr>
                  <w:r>
                    <w:rPr>
                      <w:rFonts w:ascii="仿宋_GB2312" w:hAnsi="仿宋_GB2312" w:cs="仿宋_GB2312" w:eastAsia="仿宋_GB2312"/>
                      <w:sz w:val="21"/>
                    </w:rPr>
                    <w:t>电压：</w:t>
                  </w:r>
                  <w:r>
                    <w:rPr>
                      <w:rFonts w:ascii="仿宋_GB2312" w:hAnsi="仿宋_GB2312" w:cs="仿宋_GB2312" w:eastAsia="仿宋_GB2312"/>
                      <w:sz w:val="21"/>
                    </w:rPr>
                    <w:t>220V / 50Hz</w:t>
                  </w:r>
                </w:p>
                <w:p>
                  <w:pPr>
                    <w:pStyle w:val="null3"/>
                    <w:jc w:val="both"/>
                  </w:pPr>
                  <w:r>
                    <w:rPr>
                      <w:rFonts w:ascii="仿宋_GB2312" w:hAnsi="仿宋_GB2312" w:cs="仿宋_GB2312" w:eastAsia="仿宋_GB2312"/>
                      <w:sz w:val="21"/>
                    </w:rPr>
                    <w:t>控制方式：具备定时开关功能（定时范围应至少包括</w:t>
                  </w:r>
                  <w:r>
                    <w:rPr>
                      <w:rFonts w:ascii="仿宋_GB2312" w:hAnsi="仿宋_GB2312" w:cs="仿宋_GB2312" w:eastAsia="仿宋_GB2312"/>
                      <w:sz w:val="21"/>
                    </w:rPr>
                    <w:t>15min、30min、60min等档位，可采用机械定时或遥控定时）-</w:t>
                  </w:r>
                </w:p>
                <w:p>
                  <w:pPr>
                    <w:pStyle w:val="null3"/>
                    <w:jc w:val="both"/>
                  </w:pPr>
                  <w:r>
                    <w:rPr>
                      <w:rFonts w:ascii="仿宋_GB2312" w:hAnsi="仿宋_GB2312" w:cs="仿宋_GB2312" w:eastAsia="仿宋_GB2312"/>
                      <w:sz w:val="21"/>
                    </w:rPr>
                    <w:t>消毒效果：符合国家相关消毒效果标准，提供消毒效果检测证明</w:t>
                  </w:r>
                </w:p>
                <w:p>
                  <w:pPr>
                    <w:pStyle w:val="null3"/>
                    <w:jc w:val="both"/>
                  </w:pPr>
                  <w:r>
                    <w:rPr>
                      <w:rFonts w:ascii="仿宋_GB2312" w:hAnsi="仿宋_GB2312" w:cs="仿宋_GB2312" w:eastAsia="仿宋_GB2312"/>
                      <w:sz w:val="21"/>
                    </w:rPr>
                    <w:t>臭氧功能：可有臭氧</w:t>
                  </w:r>
                  <w:r>
                    <w:rPr>
                      <w:rFonts w:ascii="仿宋_GB2312" w:hAnsi="仿宋_GB2312" w:cs="仿宋_GB2312" w:eastAsia="仿宋_GB2312"/>
                      <w:sz w:val="21"/>
                    </w:rPr>
                    <w:t>/无臭氧（由采购人根据使用场所需求在招标阶段明确选择）</w:t>
                  </w:r>
                </w:p>
                <w:p>
                  <w:pPr>
                    <w:pStyle w:val="null3"/>
                    <w:jc w:val="both"/>
                  </w:pPr>
                  <w:r>
                    <w:rPr>
                      <w:rFonts w:ascii="仿宋_GB2312" w:hAnsi="仿宋_GB2312" w:cs="仿宋_GB2312" w:eastAsia="仿宋_GB2312"/>
                      <w:sz w:val="21"/>
                    </w:rPr>
                    <w:t>安装方式：吊装式</w:t>
                  </w:r>
                  <w:r>
                    <w:rPr>
                      <w:rFonts w:ascii="仿宋_GB2312" w:hAnsi="仿宋_GB2312" w:cs="仿宋_GB2312" w:eastAsia="仿宋_GB2312"/>
                      <w:sz w:val="21"/>
                    </w:rPr>
                    <w:t>/壁挂式/移动式（根据现场需求确定）</w:t>
                  </w:r>
                </w:p>
                <w:p>
                  <w:pPr>
                    <w:pStyle w:val="null3"/>
                    <w:jc w:val="both"/>
                  </w:pPr>
                  <w:r>
                    <w:rPr>
                      <w:rFonts w:ascii="仿宋_GB2312" w:hAnsi="仿宋_GB2312" w:cs="仿宋_GB2312" w:eastAsia="仿宋_GB2312"/>
                      <w:sz w:val="21"/>
                    </w:rPr>
                    <w:t>认证要求：提供产品合格证及检测报告</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216</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平板灯</w:t>
                  </w:r>
                  <w:r>
                    <w:rPr>
                      <w:rFonts w:ascii="仿宋_GB2312" w:hAnsi="仿宋_GB2312" w:cs="仿宋_GB2312" w:eastAsia="仿宋_GB2312"/>
                      <w:sz w:val="21"/>
                    </w:rPr>
                    <w:t>（</w:t>
                  </w:r>
                  <w:r>
                    <w:rPr>
                      <w:rFonts w:ascii="仿宋_GB2312" w:hAnsi="仿宋_GB2312" w:cs="仿宋_GB2312" w:eastAsia="仿宋_GB2312"/>
                      <w:sz w:val="21"/>
                    </w:rPr>
                    <w:t>环境标志产品</w:t>
                  </w:r>
                  <w:r>
                    <w:rPr>
                      <w:rFonts w:ascii="仿宋_GB2312" w:hAnsi="仿宋_GB2312" w:cs="仿宋_GB2312" w:eastAsia="仿宋_GB2312"/>
                      <w:sz w:val="21"/>
                    </w:rPr>
                    <w:t>）</w:t>
                  </w:r>
                </w:p>
              </w:tc>
              <w:tc>
                <w:tcPr>
                  <w:tcW w:type="dxa" w:w="2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w:t>
                  </w:r>
                  <w:r>
                    <w:rPr>
                      <w:rFonts w:ascii="仿宋_GB2312" w:hAnsi="仿宋_GB2312" w:cs="仿宋_GB2312" w:eastAsia="仿宋_GB2312"/>
                      <w:sz w:val="21"/>
                    </w:rPr>
                    <w:t>LED平板灯</w:t>
                  </w:r>
                </w:p>
                <w:p>
                  <w:pPr>
                    <w:pStyle w:val="null3"/>
                    <w:jc w:val="both"/>
                  </w:pPr>
                  <w:r>
                    <w:rPr>
                      <w:rFonts w:ascii="仿宋_GB2312" w:hAnsi="仿宋_GB2312" w:cs="仿宋_GB2312" w:eastAsia="仿宋_GB2312"/>
                      <w:sz w:val="21"/>
                    </w:rPr>
                    <w:t>规格尺寸：</w:t>
                  </w:r>
                  <w:r>
                    <w:rPr>
                      <w:rFonts w:ascii="仿宋_GB2312" w:hAnsi="仿宋_GB2312" w:cs="仿宋_GB2312" w:eastAsia="仿宋_GB2312"/>
                      <w:sz w:val="21"/>
                    </w:rPr>
                    <w:t>600mm×600mm</w:t>
                  </w:r>
                </w:p>
                <w:p>
                  <w:pPr>
                    <w:pStyle w:val="null3"/>
                    <w:jc w:val="both"/>
                  </w:pPr>
                  <w:r>
                    <w:rPr>
                      <w:rFonts w:ascii="仿宋_GB2312" w:hAnsi="仿宋_GB2312" w:cs="仿宋_GB2312" w:eastAsia="仿宋_GB2312"/>
                      <w:sz w:val="21"/>
                    </w:rPr>
                    <w:t>功率：</w:t>
                  </w:r>
                  <w:r>
                    <w:rPr>
                      <w:rFonts w:ascii="仿宋_GB2312" w:hAnsi="仿宋_GB2312" w:cs="仿宋_GB2312" w:eastAsia="仿宋_GB2312"/>
                      <w:sz w:val="21"/>
                    </w:rPr>
                    <w:t>40W—50W</w:t>
                  </w:r>
                </w:p>
                <w:p>
                  <w:pPr>
                    <w:pStyle w:val="null3"/>
                    <w:jc w:val="both"/>
                  </w:pPr>
                  <w:r>
                    <w:rPr>
                      <w:rFonts w:ascii="仿宋_GB2312" w:hAnsi="仿宋_GB2312" w:cs="仿宋_GB2312" w:eastAsia="仿宋_GB2312"/>
                      <w:sz w:val="21"/>
                    </w:rPr>
                    <w:t>色温：</w:t>
                  </w:r>
                  <w:r>
                    <w:rPr>
                      <w:rFonts w:ascii="仿宋_GB2312" w:hAnsi="仿宋_GB2312" w:cs="仿宋_GB2312" w:eastAsia="仿宋_GB2312"/>
                      <w:sz w:val="21"/>
                    </w:rPr>
                    <w:t>5000K ± 300K</w:t>
                  </w:r>
                </w:p>
                <w:p>
                  <w:pPr>
                    <w:pStyle w:val="null3"/>
                    <w:jc w:val="both"/>
                  </w:pPr>
                  <w:r>
                    <w:rPr>
                      <w:rFonts w:ascii="仿宋_GB2312" w:hAnsi="仿宋_GB2312" w:cs="仿宋_GB2312" w:eastAsia="仿宋_GB2312"/>
                      <w:sz w:val="21"/>
                    </w:rPr>
                    <w:t>适用面积：依据实际安装数量配置，单灯适用面积参考值</w:t>
                  </w:r>
                  <w:r>
                    <w:rPr>
                      <w:rFonts w:ascii="仿宋_GB2312" w:hAnsi="仿宋_GB2312" w:cs="仿宋_GB2312" w:eastAsia="仿宋_GB2312"/>
                      <w:sz w:val="21"/>
                    </w:rPr>
                    <w:t>12㎡</w:t>
                  </w:r>
                </w:p>
                <w:p>
                  <w:pPr>
                    <w:pStyle w:val="null3"/>
                    <w:jc w:val="both"/>
                  </w:pPr>
                  <w:r>
                    <w:rPr>
                      <w:rFonts w:ascii="仿宋_GB2312" w:hAnsi="仿宋_GB2312" w:cs="仿宋_GB2312" w:eastAsia="仿宋_GB2312"/>
                      <w:sz w:val="21"/>
                    </w:rPr>
                    <w:t>光源类型：</w:t>
                  </w:r>
                  <w:r>
                    <w:rPr>
                      <w:rFonts w:ascii="仿宋_GB2312" w:hAnsi="仿宋_GB2312" w:cs="仿宋_GB2312" w:eastAsia="仿宋_GB2312"/>
                      <w:sz w:val="21"/>
                    </w:rPr>
                    <w:t>LED</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吊风扇</w:t>
                  </w:r>
                </w:p>
              </w:tc>
              <w:tc>
                <w:tcPr>
                  <w:tcW w:type="dxa" w:w="2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名称：吊式电风扇（吊扇）</w:t>
                  </w:r>
                </w:p>
                <w:p>
                  <w:pPr>
                    <w:pStyle w:val="null3"/>
                    <w:jc w:val="both"/>
                  </w:pPr>
                  <w:r>
                    <w:rPr>
                      <w:rFonts w:ascii="仿宋_GB2312" w:hAnsi="仿宋_GB2312" w:cs="仿宋_GB2312" w:eastAsia="仿宋_GB2312"/>
                      <w:sz w:val="21"/>
                    </w:rPr>
                    <w:t>扇叶数量：</w:t>
                  </w:r>
                  <w:r>
                    <w:rPr>
                      <w:rFonts w:ascii="仿宋_GB2312" w:hAnsi="仿宋_GB2312" w:cs="仿宋_GB2312" w:eastAsia="仿宋_GB2312"/>
                      <w:sz w:val="21"/>
                    </w:rPr>
                    <w:t>3叶或以上</w:t>
                  </w:r>
                </w:p>
                <w:p>
                  <w:pPr>
                    <w:pStyle w:val="null3"/>
                    <w:jc w:val="both"/>
                  </w:pPr>
                  <w:r>
                    <w:rPr>
                      <w:rFonts w:ascii="仿宋_GB2312" w:hAnsi="仿宋_GB2312" w:cs="仿宋_GB2312" w:eastAsia="仿宋_GB2312"/>
                      <w:sz w:val="21"/>
                    </w:rPr>
                    <w:t>风速档位：</w:t>
                  </w:r>
                  <w:r>
                    <w:rPr>
                      <w:rFonts w:ascii="仿宋_GB2312" w:hAnsi="仿宋_GB2312" w:cs="仿宋_GB2312" w:eastAsia="仿宋_GB2312"/>
                      <w:sz w:val="21"/>
                    </w:rPr>
                    <w:t>3档及以上（含3档）</w:t>
                  </w:r>
                </w:p>
                <w:p>
                  <w:pPr>
                    <w:pStyle w:val="null3"/>
                    <w:jc w:val="both"/>
                  </w:pPr>
                  <w:r>
                    <w:rPr>
                      <w:rFonts w:ascii="仿宋_GB2312" w:hAnsi="仿宋_GB2312" w:cs="仿宋_GB2312" w:eastAsia="仿宋_GB2312"/>
                      <w:sz w:val="21"/>
                    </w:rPr>
                    <w:t>控制方式：墙壁开关控制</w:t>
                  </w:r>
                </w:p>
                <w:p>
                  <w:pPr>
                    <w:pStyle w:val="null3"/>
                    <w:jc w:val="both"/>
                  </w:pPr>
                  <w:r>
                    <w:rPr>
                      <w:rFonts w:ascii="仿宋_GB2312" w:hAnsi="仿宋_GB2312" w:cs="仿宋_GB2312" w:eastAsia="仿宋_GB2312"/>
                      <w:sz w:val="21"/>
                    </w:rPr>
                    <w:t>适用面积：</w:t>
                  </w:r>
                  <w:r>
                    <w:rPr>
                      <w:rFonts w:ascii="仿宋_GB2312" w:hAnsi="仿宋_GB2312" w:cs="仿宋_GB2312" w:eastAsia="仿宋_GB2312"/>
                      <w:sz w:val="21"/>
                    </w:rPr>
                    <w:t>25㎡及以上</w:t>
                  </w:r>
                </w:p>
                <w:p>
                  <w:pPr>
                    <w:pStyle w:val="null3"/>
                    <w:jc w:val="both"/>
                  </w:pPr>
                  <w:r>
                    <w:rPr>
                      <w:rFonts w:ascii="仿宋_GB2312" w:hAnsi="仿宋_GB2312" w:cs="仿宋_GB2312" w:eastAsia="仿宋_GB2312"/>
                      <w:sz w:val="21"/>
                    </w:rPr>
                    <w:t>最大功率：</w:t>
                  </w:r>
                  <w:r>
                    <w:rPr>
                      <w:rFonts w:ascii="仿宋_GB2312" w:hAnsi="仿宋_GB2312" w:cs="仿宋_GB2312" w:eastAsia="仿宋_GB2312"/>
                      <w:sz w:val="21"/>
                    </w:rPr>
                    <w:t>≥100W</w:t>
                  </w:r>
                </w:p>
                <w:p>
                  <w:pPr>
                    <w:pStyle w:val="null3"/>
                    <w:jc w:val="both"/>
                  </w:pPr>
                  <w:r>
                    <w:rPr>
                      <w:rFonts w:ascii="仿宋_GB2312" w:hAnsi="仿宋_GB2312" w:cs="仿宋_GB2312" w:eastAsia="仿宋_GB2312"/>
                      <w:sz w:val="21"/>
                    </w:rPr>
                    <w:t>电压：</w:t>
                  </w:r>
                  <w:r>
                    <w:rPr>
                      <w:rFonts w:ascii="仿宋_GB2312" w:hAnsi="仿宋_GB2312" w:cs="仿宋_GB2312" w:eastAsia="仿宋_GB2312"/>
                      <w:sz w:val="21"/>
                    </w:rPr>
                    <w:t>220V / 50Hz</w:t>
                  </w:r>
                </w:p>
                <w:p>
                  <w:pPr>
                    <w:pStyle w:val="null3"/>
                    <w:jc w:val="both"/>
                  </w:pPr>
                  <w:r>
                    <w:rPr>
                      <w:rFonts w:ascii="仿宋_GB2312" w:hAnsi="仿宋_GB2312" w:cs="仿宋_GB2312" w:eastAsia="仿宋_GB2312"/>
                      <w:sz w:val="21"/>
                    </w:rPr>
                    <w:t>安装方式：吊钩式</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36</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1.5匹变频冷暖挂壁式空调</w:t>
                  </w:r>
                  <w:r>
                    <w:rPr>
                      <w:rFonts w:ascii="仿宋_GB2312" w:hAnsi="仿宋_GB2312" w:cs="仿宋_GB2312" w:eastAsia="仿宋_GB2312"/>
                      <w:sz w:val="21"/>
                    </w:rPr>
                    <w:t>（</w:t>
                  </w:r>
                  <w:r>
                    <w:rPr>
                      <w:rFonts w:ascii="仿宋_GB2312" w:hAnsi="仿宋_GB2312" w:cs="仿宋_GB2312" w:eastAsia="仿宋_GB2312"/>
                      <w:sz w:val="21"/>
                    </w:rPr>
                    <w:t>强制节能产品</w:t>
                  </w:r>
                  <w:r>
                    <w:rPr>
                      <w:rFonts w:ascii="仿宋_GB2312" w:hAnsi="仿宋_GB2312" w:cs="仿宋_GB2312" w:eastAsia="仿宋_GB2312"/>
                      <w:sz w:val="21"/>
                    </w:rPr>
                    <w:t>）（</w:t>
                  </w:r>
                  <w:r>
                    <w:rPr>
                      <w:rFonts w:ascii="仿宋_GB2312" w:hAnsi="仿宋_GB2312" w:cs="仿宋_GB2312" w:eastAsia="仿宋_GB2312"/>
                      <w:sz w:val="21"/>
                    </w:rPr>
                    <w:t>环境标志产品</w:t>
                  </w:r>
                  <w:r>
                    <w:rPr>
                      <w:rFonts w:ascii="仿宋_GB2312" w:hAnsi="仿宋_GB2312" w:cs="仿宋_GB2312" w:eastAsia="仿宋_GB2312"/>
                      <w:sz w:val="21"/>
                    </w:rPr>
                    <w:t>）</w:t>
                  </w:r>
                </w:p>
              </w:tc>
              <w:tc>
                <w:tcPr>
                  <w:tcW w:type="dxa" w:w="2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1：能效等级一级能效（符合GB 21455标准）</w:t>
                  </w:r>
                </w:p>
                <w:p>
                  <w:pPr>
                    <w:pStyle w:val="null3"/>
                    <w:jc w:val="both"/>
                  </w:pPr>
                  <w:r>
                    <w:rPr>
                      <w:rFonts w:ascii="仿宋_GB2312" w:hAnsi="仿宋_GB2312" w:cs="仿宋_GB2312" w:eastAsia="仿宋_GB2312"/>
                      <w:sz w:val="21"/>
                    </w:rPr>
                    <w:t>2：全年能源消耗效率（APF）≥5</w:t>
                  </w:r>
                </w:p>
                <w:p>
                  <w:pPr>
                    <w:pStyle w:val="null3"/>
                    <w:jc w:val="both"/>
                  </w:pPr>
                  <w:r>
                    <w:rPr>
                      <w:rFonts w:ascii="仿宋_GB2312" w:hAnsi="仿宋_GB2312" w:cs="仿宋_GB2312" w:eastAsia="仿宋_GB2312"/>
                      <w:sz w:val="21"/>
                    </w:rPr>
                    <w:t>3：额定制冷量（W）≥3500</w:t>
                  </w:r>
                </w:p>
                <w:p>
                  <w:pPr>
                    <w:pStyle w:val="null3"/>
                    <w:jc w:val="both"/>
                  </w:pPr>
                  <w:r>
                    <w:rPr>
                      <w:rFonts w:ascii="仿宋_GB2312" w:hAnsi="仿宋_GB2312" w:cs="仿宋_GB2312" w:eastAsia="仿宋_GB2312"/>
                      <w:sz w:val="21"/>
                    </w:rPr>
                    <w:t>4：额定制热量（W）≥5000</w:t>
                  </w:r>
                </w:p>
                <w:p>
                  <w:pPr>
                    <w:pStyle w:val="null3"/>
                    <w:jc w:val="both"/>
                  </w:pPr>
                  <w:r>
                    <w:rPr>
                      <w:rFonts w:ascii="仿宋_GB2312" w:hAnsi="仿宋_GB2312" w:cs="仿宋_GB2312" w:eastAsia="仿宋_GB2312"/>
                      <w:sz w:val="21"/>
                    </w:rPr>
                    <w:t>5：额定制冷功率（W）≤850</w:t>
                  </w:r>
                </w:p>
                <w:p>
                  <w:pPr>
                    <w:pStyle w:val="null3"/>
                    <w:jc w:val="both"/>
                  </w:pPr>
                  <w:r>
                    <w:rPr>
                      <w:rFonts w:ascii="仿宋_GB2312" w:hAnsi="仿宋_GB2312" w:cs="仿宋_GB2312" w:eastAsia="仿宋_GB2312"/>
                      <w:sz w:val="21"/>
                    </w:rPr>
                    <w:t>6：额定制热功率（W）≤1250</w:t>
                  </w:r>
                </w:p>
                <w:p>
                  <w:pPr>
                    <w:pStyle w:val="null3"/>
                    <w:jc w:val="both"/>
                  </w:pPr>
                  <w:r>
                    <w:rPr>
                      <w:rFonts w:ascii="仿宋_GB2312" w:hAnsi="仿宋_GB2312" w:cs="仿宋_GB2312" w:eastAsia="仿宋_GB2312"/>
                      <w:sz w:val="21"/>
                    </w:rPr>
                    <w:t>7：循环风量（m³/h）≥700</w:t>
                  </w:r>
                </w:p>
                <w:p>
                  <w:pPr>
                    <w:pStyle w:val="null3"/>
                    <w:jc w:val="both"/>
                  </w:pPr>
                  <w:r>
                    <w:rPr>
                      <w:rFonts w:ascii="仿宋_GB2312" w:hAnsi="仿宋_GB2312" w:cs="仿宋_GB2312" w:eastAsia="仿宋_GB2312"/>
                      <w:sz w:val="21"/>
                    </w:rPr>
                    <w:t>8：电辅热功率（W）≥1000</w:t>
                  </w:r>
                </w:p>
                <w:p>
                  <w:pPr>
                    <w:pStyle w:val="null3"/>
                    <w:jc w:val="both"/>
                  </w:pPr>
                  <w:r>
                    <w:rPr>
                      <w:rFonts w:ascii="仿宋_GB2312" w:hAnsi="仿宋_GB2312" w:cs="仿宋_GB2312" w:eastAsia="仿宋_GB2312"/>
                      <w:sz w:val="21"/>
                    </w:rPr>
                    <w:t>9：室内机噪音（dB(A)）≤45（低风档/静音模式）</w:t>
                  </w:r>
                </w:p>
                <w:p>
                  <w:pPr>
                    <w:pStyle w:val="null3"/>
                    <w:jc w:val="both"/>
                  </w:pPr>
                  <w:r>
                    <w:rPr>
                      <w:rFonts w:ascii="仿宋_GB2312" w:hAnsi="仿宋_GB2312" w:cs="仿宋_GB2312" w:eastAsia="仿宋_GB2312"/>
                      <w:sz w:val="21"/>
                    </w:rPr>
                    <w:t>10：室外机噪音（dB(A)）≤55</w:t>
                  </w:r>
                </w:p>
                <w:p>
                  <w:pPr>
                    <w:pStyle w:val="null3"/>
                    <w:jc w:val="both"/>
                  </w:pPr>
                  <w:r>
                    <w:rPr>
                      <w:rFonts w:ascii="仿宋_GB2312" w:hAnsi="仿宋_GB2312" w:cs="仿宋_GB2312" w:eastAsia="仿宋_GB2312"/>
                      <w:sz w:val="21"/>
                    </w:rPr>
                    <w:t>11：制冷季节耗电量（kW·h）≤350</w:t>
                  </w:r>
                </w:p>
                <w:p>
                  <w:pPr>
                    <w:pStyle w:val="null3"/>
                    <w:jc w:val="both"/>
                  </w:pPr>
                  <w:r>
                    <w:rPr>
                      <w:rFonts w:ascii="仿宋_GB2312" w:hAnsi="仿宋_GB2312" w:cs="仿宋_GB2312" w:eastAsia="仿宋_GB2312"/>
                      <w:sz w:val="21"/>
                    </w:rPr>
                    <w:t>12：制热季节耗电量（kW·h）≤290</w:t>
                  </w:r>
                </w:p>
                <w:p>
                  <w:pPr>
                    <w:pStyle w:val="null3"/>
                    <w:jc w:val="both"/>
                  </w:pPr>
                  <w:r>
                    <w:rPr>
                      <w:rFonts w:ascii="仿宋_GB2312" w:hAnsi="仿宋_GB2312" w:cs="仿宋_GB2312" w:eastAsia="仿宋_GB2312"/>
                      <w:sz w:val="21"/>
                    </w:rPr>
                    <w:t>13：适用面积（㎡）15-22</w:t>
                  </w:r>
                </w:p>
                <w:p>
                  <w:pPr>
                    <w:pStyle w:val="null3"/>
                    <w:jc w:val="both"/>
                  </w:pPr>
                  <w:r>
                    <w:rPr>
                      <w:rFonts w:ascii="仿宋_GB2312" w:hAnsi="仿宋_GB2312" w:cs="仿宋_GB2312" w:eastAsia="仿宋_GB2312"/>
                      <w:sz w:val="21"/>
                    </w:rPr>
                    <w:t>14：认证要求：提供中国节能产品认证证书；提供国家认可的第三方检测机构出具的检测报告。</w:t>
                  </w:r>
                </w:p>
                <w:p>
                  <w:pPr>
                    <w:pStyle w:val="null3"/>
                    <w:jc w:val="both"/>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72</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标的名称：三原县综合高中教室及宿舍维修升级改造项目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1.总体通用要求</w:t>
            </w:r>
            <w:r>
              <w:rPr>
                <w:rFonts w:ascii="仿宋_GB2312" w:hAnsi="仿宋_GB2312" w:cs="仿宋_GB2312" w:eastAsia="仿宋_GB2312"/>
              </w:rPr>
              <w:t>：本项目所有工程施工须严格遵循国家及行业现行施工质量验收规范、建设标准，所有进场主材、辅材均为正规合格产品，环保达标、无劣质及翻新材料，整体施工质量达到合格标准。</w:t>
            </w:r>
          </w:p>
          <w:p>
            <w:pPr>
              <w:pStyle w:val="null3"/>
            </w:pPr>
            <w:r>
              <w:rPr>
                <w:rFonts w:ascii="仿宋_GB2312" w:hAnsi="仿宋_GB2312" w:cs="仿宋_GB2312" w:eastAsia="仿宋_GB2312"/>
                <w:b/>
              </w:rPr>
              <w:t>2.装饰装修用材性能</w:t>
            </w:r>
            <w:r>
              <w:rPr>
                <w:rFonts w:ascii="仿宋_GB2312" w:hAnsi="仿宋_GB2312" w:cs="仿宋_GB2312" w:eastAsia="仿宋_GB2312"/>
              </w:rPr>
              <w:t>：墙面、天棚所用腻子、内墙涂料、油漆等材料环保无毒、附着力强，具备防霉、耐擦洗、不易开裂起皮的性能；地面铺装材料柔韧耐磨、防滑抑菌，适配校园日常高频使用环境。</w:t>
            </w:r>
          </w:p>
          <w:p>
            <w:pPr>
              <w:pStyle w:val="null3"/>
            </w:pPr>
            <w:r>
              <w:rPr>
                <w:rFonts w:ascii="仿宋_GB2312" w:hAnsi="仿宋_GB2312" w:cs="仿宋_GB2312" w:eastAsia="仿宋_GB2312"/>
                <w:b/>
              </w:rPr>
              <w:t>3.拆除及基层施工</w:t>
            </w:r>
            <w:r>
              <w:rPr>
                <w:rFonts w:ascii="仿宋_GB2312" w:hAnsi="仿宋_GB2312" w:cs="仿宋_GB2312" w:eastAsia="仿宋_GB2312"/>
              </w:rPr>
              <w:t>：原有墙面、老旧设施拆除作业采取防尘降噪措施，施工规范有序；基层处理平整坚实，无起砂、空鼓、松动缺陷，为后续面层施工提供合格基础。</w:t>
            </w:r>
          </w:p>
          <w:p>
            <w:pPr>
              <w:pStyle w:val="null3"/>
            </w:pPr>
            <w:r>
              <w:rPr>
                <w:rFonts w:ascii="仿宋_GB2312" w:hAnsi="仿宋_GB2312" w:cs="仿宋_GB2312" w:eastAsia="仿宋_GB2312"/>
                <w:b/>
              </w:rPr>
              <w:t>4.面层施工工艺</w:t>
            </w:r>
            <w:r>
              <w:rPr>
                <w:rFonts w:ascii="仿宋_GB2312" w:hAnsi="仿宋_GB2312" w:cs="仿宋_GB2312" w:eastAsia="仿宋_GB2312"/>
              </w:rPr>
              <w:t>：墙面、墙裙、天棚涂装工序完整，色泽均匀、衔接顺滑，无明显色差、流挂、修补痕迹；吊顶龙骨结构稳固、排布规整，面板安装平整牢固，接缝严密美观。</w:t>
            </w:r>
          </w:p>
          <w:p>
            <w:pPr>
              <w:pStyle w:val="null3"/>
            </w:pPr>
            <w:r>
              <w:rPr>
                <w:rFonts w:ascii="仿宋_GB2312" w:hAnsi="仿宋_GB2312" w:cs="仿宋_GB2312" w:eastAsia="仿宋_GB2312"/>
                <w:b/>
              </w:rPr>
              <w:t>5.电气工程技术要求</w:t>
            </w:r>
            <w:r>
              <w:rPr>
                <w:rFonts w:ascii="仿宋_GB2312" w:hAnsi="仿宋_GB2312" w:cs="仿宋_GB2312" w:eastAsia="仿宋_GB2312"/>
              </w:rPr>
              <w:t>：所有电气线缆、配电箱、开关插座、照明及风扇设备均符合国标阻燃、绝缘安全标准，布线敷设规整、接线牢固，接地保护完整可靠，通电运行稳定无漏电、短路、异响隐患。</w:t>
            </w:r>
          </w:p>
          <w:p>
            <w:pPr>
              <w:pStyle w:val="null3"/>
            </w:pPr>
            <w:r>
              <w:rPr>
                <w:rFonts w:ascii="仿宋_GB2312" w:hAnsi="仿宋_GB2312" w:cs="仿宋_GB2312" w:eastAsia="仿宋_GB2312"/>
                <w:b/>
              </w:rPr>
              <w:t>6.弱电工程性能标准</w:t>
            </w:r>
            <w:r>
              <w:rPr>
                <w:rFonts w:ascii="仿宋_GB2312" w:hAnsi="仿宋_GB2312" w:cs="仿宋_GB2312" w:eastAsia="仿宋_GB2312"/>
              </w:rPr>
              <w:t>：弱电桥架、管线、信息点位布设合理规范，材质防腐耐用、结构稳固；综合布线传输性能良好，信号稳定、抗干扰能力强，满足日常网络通信使用需求。</w:t>
            </w:r>
          </w:p>
          <w:p>
            <w:pPr>
              <w:pStyle w:val="null3"/>
            </w:pPr>
            <w:r>
              <w:rPr>
                <w:rFonts w:ascii="仿宋_GB2312" w:hAnsi="仿宋_GB2312" w:cs="仿宋_GB2312" w:eastAsia="仿宋_GB2312"/>
                <w:b/>
              </w:rPr>
              <w:t>7.安全文明及配套施工</w:t>
            </w:r>
            <w:r>
              <w:rPr>
                <w:rFonts w:ascii="仿宋_GB2312" w:hAnsi="仿宋_GB2312" w:cs="仿宋_GB2312" w:eastAsia="仿宋_GB2312"/>
              </w:rPr>
              <w:t>：严格落实安全文明、冬雨季施工、二次搬运、测量放线等配套措施，施工流程合规，防护措施到位，工程结构耐久、安全稳固，适配教学楼、宿舍楼长期使用功能。</w:t>
            </w:r>
          </w:p>
          <w:p>
            <w:pPr>
              <w:pStyle w:val="null3"/>
            </w:pPr>
            <w:r>
              <w:rPr>
                <w:rFonts w:ascii="仿宋_GB2312" w:hAnsi="仿宋_GB2312" w:cs="仿宋_GB2312" w:eastAsia="仿宋_GB2312"/>
                <w:b/>
              </w:rPr>
              <w:t>8.成品保护与整体耐久</w:t>
            </w:r>
            <w:r>
              <w:rPr>
                <w:rFonts w:ascii="仿宋_GB2312" w:hAnsi="仿宋_GB2312" w:cs="仿宋_GB2312" w:eastAsia="仿宋_GB2312"/>
              </w:rPr>
              <w:t>：施工全过程做好现有门窗及设施成品保护，完工后整体工程抗形变、耐腐蚀、易维护，各项使用功能完好，满足校园安全、舒适、耐用的使用要求。</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三原县职业技术教育中心培训基地</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三原县职业技术教育中心培训基地</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预付款，合同生效备案完毕、乙方开具合规等额增值税发票后，达到付款条件起7个工作日内，支付合同总金额的40.0%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其他，全部货物交货完毕、安装调试完成并通过甲方验收合格，，达到付款条件起10个工作日内，支付合同总金额的60.0%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预付款，合同生效备案完毕、乙方开具合规等额增值税发票后，，达到付款条件起7个工作日内，支付合同总金额的40.0%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其他，全部工程量经甲方验收合格后，达到付款条件起10个工作日内，支付合同总金额的60.0%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教室及宿舍所有采购货物须规格参数数量与采购清单一致、全新原厂无破损、安装牢固到位、通电功能运行正常、达到国家及行业合格标准，由采购人现场清点核对、外观查验、通电实测后一次性验收交付。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执行国家法律、法规和标准等情况进行检查，由采购人组织验收。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全部教室及宿舍采购货物自竣工验收合格之日起整体质保一年，质保范围内涵盖所有设备自身质量故障、配件损坏及安装松动等正常使用产生的问题，由供应商免费维修更换，人为损坏及不可抗力因素除外。</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竣工验收合格之日起统一质保一年，质保范围涵盖装饰装修、电气、弱电等全部施工内容在正常使用下出现的开裂、渗漏、脱落、线路故障、安装松动等质量缺陷，由承包方免费维修整改，人为损坏及不可抗力造成的损毁不在保修范围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履约中若一方违约须承担相应赔偿责任，双方发生货物相关争议优先友好协商解决，协商不成提交仲裁机构裁决。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任意一方违约须承担相应赔偿责任，双方就工程相关事宜产生争议优先友好协商解决，协商不成则提交仲裁机构裁决。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营业主体</w:t>
            </w:r>
          </w:p>
        </w:tc>
        <w:tc>
          <w:tcPr>
            <w:tcW w:type="dxa" w:w="3322"/>
          </w:tcPr>
          <w:p>
            <w:pPr>
              <w:pStyle w:val="null3"/>
            </w:pPr>
            <w:r>
              <w:rPr>
                <w:rFonts w:ascii="仿宋_GB2312" w:hAnsi="仿宋_GB2312" w:cs="仿宋_GB2312" w:eastAsia="仿宋_GB2312"/>
              </w:rPr>
              <w:t>提供供应商合法注册的法人或其他组织的营业执照等证明文件、自然人的身份证明；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法定代表人身份证明、法定代表人授权书及被授权人身份证合法有效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投标人需提供2024年度或2025年度经审计的投标人财务审计报告或者开标前三个月内的银行资信证明及基本存款账户开户许可证或财政部门认可的政府采购专业担保机构出具的投标担保函；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提供开标截止时间前半年内任意一个月的纳税证明或完税证明；依法免税的单位应提供相关证明材料；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提供开标截止时间前半年内任意一个月的社保机构开具的社会保险参保缴费情况证明；依法不需要缴纳社会保障资金的单位应提供相关证明材料；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参加本次招标前3年内，在政府采购经营活动中没有重大违法记录的书面声明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通过“信用中国”网站（www.creditchina.gov.cn）和中国政府采购网（www.ccgp.gov.cn）查询申请 人信用记录，被列入失信被执行人、重大税收违法案件当事人名单、政府采购严重违法失信行为记录名单的单位将被拒绝参与 本项目</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本项目不接受联合体投标，且单位负责人为同一人或者存在直接控股、管理关系的不同供应商不得参加同一合同项下的政府采购活动；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公司主体</w:t>
            </w:r>
          </w:p>
        </w:tc>
        <w:tc>
          <w:tcPr>
            <w:tcW w:type="dxa" w:w="3322"/>
          </w:tcPr>
          <w:p>
            <w:pPr>
              <w:pStyle w:val="null3"/>
            </w:pPr>
            <w:r>
              <w:rPr>
                <w:rFonts w:ascii="仿宋_GB2312" w:hAnsi="仿宋_GB2312" w:cs="仿宋_GB2312" w:eastAsia="仿宋_GB2312"/>
              </w:rPr>
              <w:t>供应商具有独立承担民事责任能力的法人、事业法人、其他组织或自然人。企业法人应提供合法有效的标识有统一社会信用代码的营业执照；事业法人应提供事业单位法人证书；其他组织应提供合法登记证明文件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投标人需提供2024年度或2025年度经审计的投标人财务审计报告或者开标前三个月内的银行资信证明及基本存款账户开户许可证或财政部门认可的政府采购专业担保机构出具的投标担保函；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提供开标截止时间前半年内任意一个月的纳税证明或完税证明；依法免税的单位应提供相关证明材料；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提供开标截止时间前半年内任意一个月的社保机构开具的社会保险参保缴费情况证明；依法不需要缴纳社会保障资金的单位应提供相关证明材料；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参加本次招标前3年内，在政府采购经营活动中没有重大违法记录的书面声明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通过“信用中国”网站（www.creditchina.gov.cn）和中国政府采购网（www.ccgp.gov.cn）查询申请 人信用记录，被列入失信被执行人、重大税收违法案件当事人名单、政府采购严重违法失信行为记录名单的单位将被拒绝参与 本项目</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本项目不接受联合体投标，且单位负责人为同一人或者存在直接控股、管理关系的不同供应商不得参加同一合同项下的政府采购活动；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公司资质</w:t>
            </w:r>
          </w:p>
        </w:tc>
        <w:tc>
          <w:tcPr>
            <w:tcW w:type="dxa" w:w="3322"/>
          </w:tcPr>
          <w:p>
            <w:pPr>
              <w:pStyle w:val="null3"/>
            </w:pPr>
            <w:r>
              <w:rPr>
                <w:rFonts w:ascii="仿宋_GB2312" w:hAnsi="仿宋_GB2312" w:cs="仿宋_GB2312" w:eastAsia="仿宋_GB2312"/>
              </w:rPr>
              <w:t>供应商具备建设行政主管部门颁发的建筑工程施工总承包三级（含三级）或建筑装修装饰工程专业承包二级（含二级）及以上资质并具有有效的安全生产许可证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拟派往项目负责人须具备建筑工程专业二级及以上注册建造师执业资格，并持有有效的安全生产考核合格证书（B证），且未担任其他在建工程项目的项目经理。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本国产品说明 中小企业声明函 商务应答表 供应商应提交的相关资格证明材料 方案.docx 报价表 中国境内生产的组件成本核算基本规则 响应文件封面 产品技术参数表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有效性</w:t>
            </w:r>
          </w:p>
        </w:tc>
        <w:tc>
          <w:tcPr>
            <w:tcW w:type="dxa" w:w="3322"/>
          </w:tcPr>
          <w:p>
            <w:pPr>
              <w:pStyle w:val="null3"/>
            </w:pPr>
            <w:r>
              <w:rPr>
                <w:rFonts w:ascii="仿宋_GB2312" w:hAnsi="仿宋_GB2312" w:cs="仿宋_GB2312" w:eastAsia="仿宋_GB2312"/>
              </w:rPr>
              <w:t>针对同一项目提交两份或多份内容不同的响应文件，未书面声明哪一份是有效的或出现选择性报价的</w:t>
            </w:r>
          </w:p>
        </w:tc>
        <w:tc>
          <w:tcPr>
            <w:tcW w:type="dxa" w:w="1661"/>
          </w:tcPr>
          <w:p>
            <w:pPr>
              <w:pStyle w:val="null3"/>
            </w:pPr>
            <w:r>
              <w:rPr>
                <w:rFonts w:ascii="仿宋_GB2312" w:hAnsi="仿宋_GB2312" w:cs="仿宋_GB2312" w:eastAsia="仿宋_GB2312"/>
              </w:rPr>
              <w:t>本国产品说明 中小企业声明函 商务应答表 供应商应提交的相关资格证明材料 方案.docx 报价表 中国境内生产的组件成本核算基本规则 响应文件封面 产品技术参数表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限价</w:t>
            </w:r>
          </w:p>
        </w:tc>
        <w:tc>
          <w:tcPr>
            <w:tcW w:type="dxa" w:w="3322"/>
          </w:tcPr>
          <w:p>
            <w:pPr>
              <w:pStyle w:val="null3"/>
            </w:pPr>
            <w:r>
              <w:rPr>
                <w:rFonts w:ascii="仿宋_GB2312" w:hAnsi="仿宋_GB2312" w:cs="仿宋_GB2312" w:eastAsia="仿宋_GB2312"/>
              </w:rPr>
              <w:t>报价不超过采购预算/限价</w:t>
            </w:r>
          </w:p>
        </w:tc>
        <w:tc>
          <w:tcPr>
            <w:tcW w:type="dxa" w:w="1661"/>
          </w:tcPr>
          <w:p>
            <w:pPr>
              <w:pStyle w:val="null3"/>
            </w:pPr>
            <w:r>
              <w:rPr>
                <w:rFonts w:ascii="仿宋_GB2312" w:hAnsi="仿宋_GB2312" w:cs="仿宋_GB2312" w:eastAsia="仿宋_GB2312"/>
              </w:rPr>
              <w:t>本国产品说明 中小企业声明函 商务应答表 供应商应提交的相关资格证明材料 方案.docx 报价表 中国境内生产的组件成本核算基本规则 响应文件封面 产品技术参数表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有效期不符合招标文件的要求</w:t>
            </w:r>
          </w:p>
        </w:tc>
        <w:tc>
          <w:tcPr>
            <w:tcW w:type="dxa" w:w="1661"/>
          </w:tcPr>
          <w:p>
            <w:pPr>
              <w:pStyle w:val="null3"/>
            </w:pPr>
            <w:r>
              <w:rPr>
                <w:rFonts w:ascii="仿宋_GB2312" w:hAnsi="仿宋_GB2312" w:cs="仿宋_GB2312" w:eastAsia="仿宋_GB2312"/>
              </w:rPr>
              <w:t>本国产品说明 中小企业声明函 商务应答表 供应商应提交的相关资格证明材料 方案.docx 报价表 中国境内生产的组件成本核算基本规则 响应文件封面 产品技术参数表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法律、法规规定的其他情形</w:t>
            </w:r>
          </w:p>
        </w:tc>
        <w:tc>
          <w:tcPr>
            <w:tcW w:type="dxa" w:w="1661"/>
          </w:tcPr>
          <w:p>
            <w:pPr>
              <w:pStyle w:val="null3"/>
            </w:pPr>
            <w:r>
              <w:rPr>
                <w:rFonts w:ascii="仿宋_GB2312" w:hAnsi="仿宋_GB2312" w:cs="仿宋_GB2312" w:eastAsia="仿宋_GB2312"/>
              </w:rPr>
              <w:t>本国产品说明 中小企业声明函 商务应答表 供应商应提交的相关资格证明材料 方案.docx 报价表 中国境内生产的组件成本核算基本规则 响应文件封面 产品技术参数表 残疾人福利性单位声明函 标的清单 关于符合本国产品标准的声明函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方案.docx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有效性</w:t>
            </w:r>
          </w:p>
        </w:tc>
        <w:tc>
          <w:tcPr>
            <w:tcW w:type="dxa" w:w="3322"/>
          </w:tcPr>
          <w:p>
            <w:pPr>
              <w:pStyle w:val="null3"/>
            </w:pPr>
            <w:r>
              <w:rPr>
                <w:rFonts w:ascii="仿宋_GB2312" w:hAnsi="仿宋_GB2312" w:cs="仿宋_GB2312" w:eastAsia="仿宋_GB2312"/>
              </w:rPr>
              <w:t>针对同一项目提交两份或多份内容不同的响应文件，未书面声明哪一份是有效的或出现选择性报价的</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方案.docx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限价</w:t>
            </w:r>
          </w:p>
        </w:tc>
        <w:tc>
          <w:tcPr>
            <w:tcW w:type="dxa" w:w="3322"/>
          </w:tcPr>
          <w:p>
            <w:pPr>
              <w:pStyle w:val="null3"/>
            </w:pPr>
            <w:r>
              <w:rPr>
                <w:rFonts w:ascii="仿宋_GB2312" w:hAnsi="仿宋_GB2312" w:cs="仿宋_GB2312" w:eastAsia="仿宋_GB2312"/>
              </w:rPr>
              <w:t>报价不超过采购预算/限价</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方案.docx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有效期不符合招标文件的要求</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方案.docx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法律、法规规定的其他情形</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方案.docx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技术指标及配置</w:t>
            </w:r>
          </w:p>
        </w:tc>
        <w:tc>
          <w:tcPr>
            <w:tcW w:type="dxa" w:w="2492"/>
          </w:tcPr>
          <w:p>
            <w:pPr>
              <w:pStyle w:val="null3"/>
            </w:pPr>
            <w:r>
              <w:rPr>
                <w:rFonts w:ascii="仿宋_GB2312" w:hAnsi="仿宋_GB2312" w:cs="仿宋_GB2312" w:eastAsia="仿宋_GB2312"/>
              </w:rPr>
              <w:t>所投产品技术参数清楚、明确并能逐条响应并满足招标文件内容及要求，中所有参数要求，得10分。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供应商提供所投第三章《技术要求》中产品的合法来源渠道证明文件，满分3分，不提供不得分。以下资料提供任意一种:1、如供应商为所投产品代理商:提供货物的合法来源渠道证明文件(例如:产品制造商授权、销售协议、代理协议等证明文件)，每提供一份证明文件得0.5分，满分3分。2、如供应商为所投产品的制造商:需提供情况说明(说明某一项产品为制造商自己生产)，情况说明每涉及一项产品得0.5分，满分3分。备注:以加盖供应商公章的证明材料复印件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所投产品为“节能产品政府采购品目清单(非强制采购产品)”或“环境标志产品政府采购品目清单”内的，应提供该产品由国家确定的认证机构出具的节能产品认证证书或中国环境标志产品认证证书且处于有效期内的，每提供一个得0.5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提出应急预案，包含但不限于①供货延误应急处置、②物流运输突发应急处置、③设备质量及规格不符应急处置、④现场安装调试突发应急处置、⑤系统运行故障应急处置等，内容完整、详细、合理、可操作性强，符合项目要求。每项满分0.5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供应商针对本项目提出实施方案，包含但不限于①供货方案、②安装与调试、③维修保养的培训服务、④应急预案等，内容完整、详细、合理、可操作性强，符合项目要求。每项满分2分，缺项不得分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供应商针对本项目提出供货方案，包含但不限于①供货组织统筹②订单排产与货源保障、③分批备货与检验、④配送交付与现场清点等，内容完整、详细、合理、可操作性强，符合项目要求。每项满分2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供应商针对本项目提出质量保证方案，包含但不限于①质量目标与承诺、②质量管理体系、③全过程质量控制措施、④质量风险防控与应急预案等，内容完整、详细、合理、可操作性强，符合项目要求。每项满分2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培训服务</w:t>
            </w:r>
          </w:p>
        </w:tc>
        <w:tc>
          <w:tcPr>
            <w:tcW w:type="dxa" w:w="2492"/>
          </w:tcPr>
          <w:p>
            <w:pPr>
              <w:pStyle w:val="null3"/>
            </w:pPr>
            <w:r>
              <w:rPr>
                <w:rFonts w:ascii="仿宋_GB2312" w:hAnsi="仿宋_GB2312" w:cs="仿宋_GB2312" w:eastAsia="仿宋_GB2312"/>
              </w:rPr>
              <w:t>供应商针对本项目提出培训服务，包含但不限于①基础操作培训、②日常运维与简单故障处理培训、③管理与进阶功能培训、④培训资料交付与后续支持等，内容完整、详细、合理、可操作性强，符合项目要求。每项满分2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提出售后服务方案，包含但不限于①备品备件及耗材保障方案及承诺、②质保期间的响应保障方案、③相关服务承诺、④售后人员保障等，内容完整、详细、合理、可操作性强，符合项目要求。每项满分2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投标人需截止开标日期提近三年（2023年5月至今）类似业绩：每提供一项得 2 .5分，最高得 5分（提供类似业绩的中标通知书和合同），不提供或提供的资料不全不得分。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价格分采用低价优先法计算，即满足本招标文件要求的最低投标报价为评标基准价，其价格分为满分，其它投标人的价格分统一按照下列公式计算：投标报价得分=（评标基准价／投标报价）×价格分分值（精 确到小数点后两位）。 超过了采购项目最高限价的，为无效投标。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方案.docx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针对本项目提供的项目施工方案，内容包括但不限于①前期筹备全面部署②施工流程科学规划及成本控制精准高③安全管理全程覆盖 ④工程质量保证措施⑤施工机械设备配备⑥劳动力计划及主要材料供应计划计划效评审标准：。方案内容详细完整、针对性强、可行性高，符合项目实际要求。每项满分2分，缺项不得分，每项内容存在缺陷扣0.5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项目管理机构及项目经理部组成</w:t>
            </w:r>
          </w:p>
        </w:tc>
        <w:tc>
          <w:tcPr>
            <w:tcW w:type="dxa" w:w="2492"/>
          </w:tcPr>
          <w:p>
            <w:pPr>
              <w:pStyle w:val="null3"/>
            </w:pPr>
            <w:r>
              <w:rPr>
                <w:rFonts w:ascii="仿宋_GB2312" w:hAnsi="仿宋_GB2312" w:cs="仿宋_GB2312" w:eastAsia="仿宋_GB2312"/>
              </w:rPr>
              <w:t>针对本项目提供的项目管理机构及项目经理部组成，内容包括但不限于①项目管理机构②项目经理部组成③专业化项目经理部组建原则评审标准：方案内容详细完整、针对性强、可行性高，符合项目实际要求。每项满分2分，缺项不得分，每项内容存在缺陷扣0.5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材料进场及现场仓储保障措施</w:t>
            </w:r>
          </w:p>
        </w:tc>
        <w:tc>
          <w:tcPr>
            <w:tcW w:type="dxa" w:w="2492"/>
          </w:tcPr>
          <w:p>
            <w:pPr>
              <w:pStyle w:val="null3"/>
            </w:pPr>
            <w:r>
              <w:rPr>
                <w:rFonts w:ascii="仿宋_GB2312" w:hAnsi="仿宋_GB2312" w:cs="仿宋_GB2312" w:eastAsia="仿宋_GB2312"/>
              </w:rPr>
              <w:t>针对本项目材料进场及现场仓储保障措施，内容包括但不限于①材料进场验收管控②现场分区规范仓储③料领用与周转管理等评审标准：方案内容详细完整、针对性强、可行性高，符合项目实际要求。每项满分2分，缺项不得分，每项内容存在缺陷扣0.5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确保安全生产的技术组织措施及应急预案</w:t>
            </w:r>
          </w:p>
        </w:tc>
        <w:tc>
          <w:tcPr>
            <w:tcW w:type="dxa" w:w="2492"/>
          </w:tcPr>
          <w:p>
            <w:pPr>
              <w:pStyle w:val="null3"/>
            </w:pPr>
            <w:r>
              <w:rPr>
                <w:rFonts w:ascii="仿宋_GB2312" w:hAnsi="仿宋_GB2312" w:cs="仿宋_GB2312" w:eastAsia="仿宋_GB2312"/>
              </w:rPr>
              <w:t>针对本项目确保安全生产的技术组织措施及应急预案，内容包括但不限于①确保安全生产的技术组织措施②应急预案③危险源分级管控与技术防护体系④安全防护与文明施工措施⑤多场景应急处置预案与演练机制评审标准：方案内容详细完整、针对性强、可行性高，符合项目实际要求。每项满分2分，缺项不得分，每项内容存在缺陷扣0.5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确保文明施工的技术措施及环境保护措施</w:t>
            </w:r>
          </w:p>
        </w:tc>
        <w:tc>
          <w:tcPr>
            <w:tcW w:type="dxa" w:w="2492"/>
          </w:tcPr>
          <w:p>
            <w:pPr>
              <w:pStyle w:val="null3"/>
            </w:pPr>
            <w:r>
              <w:rPr>
                <w:rFonts w:ascii="仿宋_GB2312" w:hAnsi="仿宋_GB2312" w:cs="仿宋_GB2312" w:eastAsia="仿宋_GB2312"/>
              </w:rPr>
              <w:t>针对本项目确保文明施工的技术措施及环境保护措施，内容包括但不限于①确保文明施工的技术措施②环境保护措施③施工区域标准化封闭管理措施④精细化扬尘与噪音防控技术方案⑤施工废弃物分类处理与资源化利用措施评审标准：方案内容详细完整、针对性强、可行性高，符合项目实际要求。每项满分2分，缺项不得分，每项内容存在缺陷扣0.5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施工进度计划及确保工期的技术措施</w:t>
            </w:r>
          </w:p>
        </w:tc>
        <w:tc>
          <w:tcPr>
            <w:tcW w:type="dxa" w:w="2492"/>
          </w:tcPr>
          <w:p>
            <w:pPr>
              <w:pStyle w:val="null3"/>
            </w:pPr>
            <w:r>
              <w:rPr>
                <w:rFonts w:ascii="仿宋_GB2312" w:hAnsi="仿宋_GB2312" w:cs="仿宋_GB2312" w:eastAsia="仿宋_GB2312"/>
              </w:rPr>
              <w:t>针对本项目施工进度计划及确保工期的技术措施，内容包括但不限于①施工进度计划②确保工期的技术措施③分阶段精细化施工进度计划编制评审标准：方案内容详细完整、针对性强、可行性高，符合项目实际要求。每项满分2分，缺项不得分，每项内容存在缺陷扣0.5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垃圾清运方案</w:t>
            </w:r>
          </w:p>
        </w:tc>
        <w:tc>
          <w:tcPr>
            <w:tcW w:type="dxa" w:w="2492"/>
          </w:tcPr>
          <w:p>
            <w:pPr>
              <w:pStyle w:val="null3"/>
            </w:pPr>
            <w:r>
              <w:rPr>
                <w:rFonts w:ascii="仿宋_GB2312" w:hAnsi="仿宋_GB2312" w:cs="仿宋_GB2312" w:eastAsia="仿宋_GB2312"/>
              </w:rPr>
              <w:t>针对本项目垃圾清运方案，内容包括但不限于①清运管控与环境防护措施②垃圾清运方案 评审标准：方案内容详细完整、针对性强、可行性高，符合项目实际要求。每项满分2分，缺项不得分，每项内容存在缺陷扣0.5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针对本项目服务承诺，内容包括但不限于①服务过程中的相关承诺②投入材料质量承诺③质量保修期内的服务承诺④合理化建议 评审标准：方案内容详细完整、针对性强、可行性高，符合项目实际要求。每项满分2分，缺项不得分，每项内容存在缺陷扣0.5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月以来类似项目业绩；每提供1份计2分，最高得8分。业绩证明（以合同或中标/成交通知书为准，须在磋商响应文件中附以上证明材料的扫描件加盖单位公章，原件备查）弄虚作假者，取消其成交资格。</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