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版本号：HJCS2601-03120260604001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网信技术体系运维项目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HJCS2601-031</w:t>
      </w:r>
      <w:r>
        <w:br/>
      </w:r>
      <w:r>
        <w:br/>
      </w:r>
      <w:r>
        <w:br/>
      </w:r>
    </w:p>
    <w:p>
      <w:pPr>
        <w:pStyle w:val="null3"/>
        <w:jc w:val="center"/>
        <w:outlineLvl w:val="2"/>
      </w:pPr>
      <w:r>
        <w:rPr>
          <w:rFonts w:ascii="仿宋_GB2312" w:hAnsi="仿宋_GB2312" w:cs="仿宋_GB2312" w:eastAsia="仿宋_GB2312"/>
          <w:sz w:val="28"/>
          <w:b/>
        </w:rPr>
        <w:t>陕西省互联网信息办公室</w:t>
      </w:r>
    </w:p>
    <w:p>
      <w:pPr>
        <w:pStyle w:val="null3"/>
        <w:jc w:val="center"/>
        <w:outlineLvl w:val="2"/>
      </w:pPr>
      <w:r>
        <w:rPr>
          <w:rFonts w:ascii="仿宋_GB2312" w:hAnsi="仿宋_GB2312" w:cs="仿宋_GB2312" w:eastAsia="仿宋_GB2312"/>
          <w:sz w:val="28"/>
          <w:b/>
        </w:rPr>
        <w:t>陕西海佳项目管理有限公司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陕西海佳项目管理有限公司</w:t>
      </w:r>
      <w:r>
        <w:rPr>
          <w:rFonts w:ascii="仿宋_GB2312" w:hAnsi="仿宋_GB2312" w:cs="仿宋_GB2312" w:eastAsia="仿宋_GB2312"/>
        </w:rPr>
        <w:t>（以下简称“代理机构”）受</w:t>
      </w:r>
      <w:r>
        <w:rPr>
          <w:rFonts w:ascii="仿宋_GB2312" w:hAnsi="仿宋_GB2312" w:cs="仿宋_GB2312" w:eastAsia="仿宋_GB2312"/>
        </w:rPr>
        <w:t>陕西省互联网信息办公室</w:t>
      </w:r>
      <w:r>
        <w:rPr>
          <w:rFonts w:ascii="仿宋_GB2312" w:hAnsi="仿宋_GB2312" w:cs="仿宋_GB2312" w:eastAsia="仿宋_GB2312"/>
        </w:rPr>
        <w:t>委托，拟对</w:t>
      </w:r>
      <w:r>
        <w:rPr>
          <w:rFonts w:ascii="仿宋_GB2312" w:hAnsi="仿宋_GB2312" w:cs="仿宋_GB2312" w:eastAsia="仿宋_GB2312"/>
        </w:rPr>
        <w:t>网信技术体系运维项目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HJCS2601-031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网信技术体系运维项目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相关法规政策规定、网络信息系统运维标准和技术规范，建立陕西省互联网信息办公室网络和信息系统的运行维护和网络安全管理工作体系，保障陕西省互联网信息办公室网络与信息系统的规范化管理和安全高效运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本次采购采取书面推荐邀请磋商的供应商。</w:t>
      </w:r>
    </w:p>
    <w:p>
      <w:pPr>
        <w:pStyle w:val="null3"/>
      </w:pPr>
      <w:r>
        <w:rPr>
          <w:rFonts w:ascii="仿宋_GB2312" w:hAnsi="仿宋_GB2312" w:cs="仿宋_GB2312" w:eastAsia="仿宋_GB2312"/>
        </w:rPr>
        <w:t xml:space="preserve"> 书面推荐：通过采购人和评审专家各自出具书面推荐意见，推荐符合相应资格条件的供应商参与本次采购活动；</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1、供应商特定资格要求：无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陕西省互联网信息办公室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雁塔路南段10号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029-63907118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陕西海佳项目管理有限公司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陕西省高新区唐延路35号旺座现代城C座2604室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雷鹏飞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029-88765319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代理服务费收费标准：（1）采购代理服务费参照国家计委《招标代理服务收费管理暂行办法》（计价格[2002]1980号）规定的收费标准收取。（2）采购代理服务费缴纳账户： 开户名称：陕西海佳项目管理有限公司 开户银行： 招商银行股份有限公司西安城西支行 账 号： 129911759510401。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陕西省互联网信息办公室</w:t>
      </w:r>
      <w:r>
        <w:rPr>
          <w:rFonts w:ascii="仿宋_GB2312" w:hAnsi="仿宋_GB2312" w:cs="仿宋_GB2312" w:eastAsia="仿宋_GB2312"/>
        </w:rPr>
        <w:t>和</w:t>
      </w:r>
      <w:r>
        <w:rPr>
          <w:rFonts w:ascii="仿宋_GB2312" w:hAnsi="仿宋_GB2312" w:cs="仿宋_GB2312" w:eastAsia="仿宋_GB2312"/>
        </w:rPr>
        <w:t>陕西海佳项目管理有限公司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陕西省互联网信息办公室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陕西海佳项目管理有限公司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陕西省互联网信息办公室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陕西海佳项目管理有限公司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符合国家、地方、行业相关合格标准，符合采购人的要求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陕西海佳项目管理有限公司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陕西海佳项目管理有限公司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陕西海佳项目管理有限公司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联系人：雷鹏飞</w:t>
      </w:r>
    </w:p>
    <w:p>
      <w:pPr>
        <w:pStyle w:val="null3"/>
      </w:pPr>
      <w:r>
        <w:rPr>
          <w:rFonts w:ascii="仿宋_GB2312" w:hAnsi="仿宋_GB2312" w:cs="仿宋_GB2312" w:eastAsia="仿宋_GB2312"/>
        </w:rPr>
        <w:t>联系电话：029-88765319</w:t>
      </w:r>
    </w:p>
    <w:p>
      <w:pPr>
        <w:pStyle w:val="null3"/>
      </w:pPr>
      <w:r>
        <w:rPr>
          <w:rFonts w:ascii="仿宋_GB2312" w:hAnsi="仿宋_GB2312" w:cs="仿宋_GB2312" w:eastAsia="仿宋_GB2312"/>
        </w:rPr>
        <w:t>地址：陕西省西安市高新区唐延路35号旺座现代城C座2604室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相关法规政策规定、网络信息系统运维标准和技术规范，建立陕西省互联网信息办公室网络和信息系统的运行维护和网络安全管理工作体系，保障陕西省互联网信息办公室网络与信息系统的规范化管理和安全高效运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网信技术体系运维项目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标的名称：网信技术体系运维项目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一、项目概况</w:t>
            </w:r>
          </w:p>
          <w:p>
            <w:pPr>
              <w:pStyle w:val="null3"/>
              <w:ind w:firstLine="420"/>
              <w:jc w:val="both"/>
            </w:pPr>
            <w:r>
              <w:rPr>
                <w:rFonts w:ascii="仿宋_GB2312" w:hAnsi="仿宋_GB2312" w:cs="仿宋_GB2312" w:eastAsia="仿宋_GB2312"/>
                <w:sz w:val="21"/>
              </w:rPr>
              <w:t>按照相关法规政策规定、网络信息系统运维标准和技术规范，建立陕西省互联网信息办公室网络和信息系统的运行维护和网络安全管理工作体系，保障陕西省互联网信息办公室网络与信息系统的规范化管理和安全高效运行。</w:t>
            </w:r>
          </w:p>
          <w:p>
            <w:pPr>
              <w:pStyle w:val="null3"/>
              <w:ind w:firstLine="420"/>
              <w:jc w:val="both"/>
            </w:pPr>
            <w:r>
              <w:rPr>
                <w:rFonts w:ascii="仿宋_GB2312" w:hAnsi="仿宋_GB2312" w:cs="仿宋_GB2312" w:eastAsia="仿宋_GB2312"/>
                <w:sz w:val="21"/>
              </w:rPr>
              <w:t>二、服务总体要求</w:t>
            </w:r>
          </w:p>
          <w:p>
            <w:pPr>
              <w:pStyle w:val="null3"/>
              <w:ind w:firstLine="420"/>
              <w:jc w:val="both"/>
            </w:pPr>
            <w:r>
              <w:rPr>
                <w:rFonts w:ascii="仿宋_GB2312" w:hAnsi="仿宋_GB2312" w:cs="仿宋_GB2312" w:eastAsia="仿宋_GB2312"/>
                <w:sz w:val="21"/>
              </w:rPr>
              <w:t>（一）供应商应当具备相应的技术支持和运维经验，具有与本项目相关的运维服务能力。</w:t>
            </w:r>
          </w:p>
          <w:p>
            <w:pPr>
              <w:pStyle w:val="null3"/>
              <w:ind w:firstLine="420"/>
              <w:jc w:val="both"/>
            </w:pPr>
            <w:r>
              <w:rPr>
                <w:rFonts w:ascii="仿宋_GB2312" w:hAnsi="仿宋_GB2312" w:cs="仿宋_GB2312" w:eastAsia="仿宋_GB2312"/>
                <w:sz w:val="21"/>
              </w:rPr>
              <w:t>（二）供应商应具备完善的服务管理能力和专业的服务管理组织机构，能够</w:t>
            </w:r>
            <w:r>
              <w:rPr>
                <w:rFonts w:ascii="仿宋_GB2312" w:hAnsi="仿宋_GB2312" w:cs="仿宋_GB2312" w:eastAsia="仿宋_GB2312"/>
                <w:sz w:val="21"/>
              </w:rPr>
              <w:t>7*24</w:t>
            </w:r>
            <w:r>
              <w:rPr>
                <w:rFonts w:ascii="仿宋_GB2312" w:hAnsi="仿宋_GB2312" w:cs="仿宋_GB2312" w:eastAsia="仿宋_GB2312"/>
                <w:sz w:val="21"/>
              </w:rPr>
              <w:t>小时响应采购人服务要求。</w:t>
            </w:r>
          </w:p>
          <w:p>
            <w:pPr>
              <w:pStyle w:val="null3"/>
              <w:ind w:firstLine="420"/>
              <w:jc w:val="both"/>
            </w:pPr>
            <w:r>
              <w:rPr>
                <w:rFonts w:ascii="仿宋_GB2312" w:hAnsi="仿宋_GB2312" w:cs="仿宋_GB2312" w:eastAsia="仿宋_GB2312"/>
                <w:sz w:val="21"/>
              </w:rPr>
              <w:t>（三）供应商提供的服务应当严格遵循采购人要求的服务内容和标准；按照项目需求配备合理的服务人员响应，其中驻场人员不少于</w:t>
            </w:r>
            <w:r>
              <w:rPr>
                <w:rFonts w:ascii="仿宋_GB2312" w:hAnsi="仿宋_GB2312" w:cs="仿宋_GB2312" w:eastAsia="仿宋_GB2312"/>
                <w:sz w:val="21"/>
              </w:rPr>
              <w:t>4</w:t>
            </w:r>
            <w:r>
              <w:rPr>
                <w:rFonts w:ascii="仿宋_GB2312" w:hAnsi="仿宋_GB2312" w:cs="仿宋_GB2312" w:eastAsia="仿宋_GB2312"/>
                <w:sz w:val="21"/>
              </w:rPr>
              <w:t>人，确保项目实施的质量。</w:t>
            </w:r>
          </w:p>
          <w:p>
            <w:pPr>
              <w:pStyle w:val="null3"/>
              <w:ind w:firstLine="420"/>
              <w:jc w:val="both"/>
            </w:pPr>
            <w:r>
              <w:rPr>
                <w:rFonts w:ascii="仿宋_GB2312" w:hAnsi="仿宋_GB2312" w:cs="仿宋_GB2312" w:eastAsia="仿宋_GB2312"/>
                <w:sz w:val="21"/>
              </w:rPr>
              <w:t>（四）供应商应结合采购人目前的实际情况，统一制定陕西省网信技术体系运行维护管理制度、规范与流程，并定期修改和完善。</w:t>
            </w:r>
          </w:p>
          <w:p>
            <w:pPr>
              <w:pStyle w:val="null3"/>
              <w:ind w:firstLine="420"/>
              <w:jc w:val="both"/>
            </w:pPr>
            <w:r>
              <w:rPr>
                <w:rFonts w:ascii="仿宋_GB2312" w:hAnsi="仿宋_GB2312" w:cs="仿宋_GB2312" w:eastAsia="仿宋_GB2312"/>
                <w:sz w:val="21"/>
              </w:rPr>
              <w:t>（五）供应商应按技术服务要求和内容提供服务，在进行运维工作过程中，应当保证运维设备、网络及系统的安全。对采购人的所有相关数据进行保密，不得外泄。如发生因服务导致的网络与信息安全事件，供应商应承担由此引起的所有责任，采购人保留追究供应商责任的权力。</w:t>
            </w:r>
          </w:p>
          <w:p>
            <w:pPr>
              <w:pStyle w:val="null3"/>
              <w:ind w:firstLine="420"/>
              <w:jc w:val="both"/>
            </w:pPr>
            <w:r>
              <w:rPr>
                <w:rFonts w:ascii="仿宋_GB2312" w:hAnsi="仿宋_GB2312" w:cs="仿宋_GB2312" w:eastAsia="仿宋_GB2312"/>
                <w:sz w:val="21"/>
              </w:rPr>
              <w:t>（六）供应商应根据采购要求制定相应的服务计划及主要的服务内容，包括：巡检内容、巡检次数、巡检报告等。</w:t>
            </w:r>
          </w:p>
          <w:p>
            <w:pPr>
              <w:pStyle w:val="null3"/>
              <w:ind w:firstLine="420"/>
              <w:jc w:val="both"/>
            </w:pPr>
            <w:r>
              <w:rPr>
                <w:rFonts w:ascii="仿宋_GB2312" w:hAnsi="仿宋_GB2312" w:cs="仿宋_GB2312" w:eastAsia="仿宋_GB2312"/>
                <w:sz w:val="21"/>
              </w:rPr>
              <w:t>（七）供应商应当根据采购人现有设备的硬件配置情况建立详细的设备系统档案，包括硬件配置、系统配置等，同时应根据业务系统对与之相配套的软件、硬件系统进行梳理，形成文档，以便做到快速排除故障，做到随着设备的升级、调试或参数发生变化时，及时更新相关参数。</w:t>
            </w:r>
          </w:p>
          <w:p>
            <w:pPr>
              <w:pStyle w:val="null3"/>
              <w:ind w:firstLine="420"/>
              <w:jc w:val="both"/>
            </w:pPr>
            <w:r>
              <w:rPr>
                <w:rFonts w:ascii="仿宋_GB2312" w:hAnsi="仿宋_GB2312" w:cs="仿宋_GB2312" w:eastAsia="仿宋_GB2312"/>
                <w:sz w:val="21"/>
              </w:rPr>
              <w:t>（八）供应商为采购人开展的所有工作应当建立工作记录、出具工作报告，以便于完整反映服务内容及工作情况。工作记录和报告格式可由供应商定制。</w:t>
            </w:r>
          </w:p>
          <w:p>
            <w:pPr>
              <w:pStyle w:val="null3"/>
              <w:ind w:firstLine="420"/>
              <w:jc w:val="both"/>
            </w:pPr>
            <w:r>
              <w:rPr>
                <w:rFonts w:ascii="仿宋_GB2312" w:hAnsi="仿宋_GB2312" w:cs="仿宋_GB2312" w:eastAsia="仿宋_GB2312"/>
                <w:sz w:val="21"/>
              </w:rPr>
              <w:t>（九）供应商中标后，应在合同中承诺为采购人提供的运维服务期满后，一个月内应配合交接作为过渡，保证采购人运维对象的平稳运行。</w:t>
            </w:r>
          </w:p>
          <w:p>
            <w:pPr>
              <w:pStyle w:val="null3"/>
              <w:ind w:firstLine="420"/>
              <w:jc w:val="both"/>
            </w:pPr>
            <w:r>
              <w:rPr>
                <w:rFonts w:ascii="仿宋_GB2312" w:hAnsi="仿宋_GB2312" w:cs="仿宋_GB2312" w:eastAsia="仿宋_GB2312"/>
                <w:sz w:val="21"/>
              </w:rPr>
              <w:t>三、运维范围</w:t>
            </w:r>
          </w:p>
          <w:p>
            <w:pPr>
              <w:pStyle w:val="null3"/>
              <w:ind w:firstLine="420"/>
              <w:jc w:val="both"/>
            </w:pPr>
            <w:r>
              <w:rPr>
                <w:rFonts w:ascii="仿宋_GB2312" w:hAnsi="仿宋_GB2312" w:cs="仿宋_GB2312" w:eastAsia="仿宋_GB2312"/>
                <w:sz w:val="21"/>
              </w:rPr>
              <w:t>本次运行维护项目工作范围如下：</w:t>
            </w:r>
          </w:p>
          <w:p>
            <w:pPr>
              <w:pStyle w:val="null3"/>
              <w:ind w:firstLine="420"/>
              <w:jc w:val="both"/>
            </w:pPr>
            <w:r>
              <w:rPr>
                <w:rFonts w:ascii="仿宋_GB2312" w:hAnsi="仿宋_GB2312" w:cs="仿宋_GB2312" w:eastAsia="仿宋_GB2312"/>
                <w:sz w:val="21"/>
              </w:rPr>
              <w:t>（一）采购人所属的服务器、存储、网络、安全、备份、云计算平台、大数据平台等设备、系统及配套设备的运维服务。</w:t>
            </w:r>
          </w:p>
          <w:p>
            <w:pPr>
              <w:pStyle w:val="null3"/>
              <w:ind w:firstLine="420"/>
              <w:jc w:val="both"/>
            </w:pPr>
            <w:r>
              <w:rPr>
                <w:rFonts w:ascii="仿宋_GB2312" w:hAnsi="仿宋_GB2312" w:cs="仿宋_GB2312" w:eastAsia="仿宋_GB2312"/>
                <w:sz w:val="21"/>
              </w:rPr>
              <w:t>（二）采购人的视频会议系统运维、保障工作。</w:t>
            </w:r>
          </w:p>
          <w:p>
            <w:pPr>
              <w:pStyle w:val="null3"/>
              <w:ind w:firstLine="420"/>
              <w:jc w:val="both"/>
            </w:pPr>
            <w:r>
              <w:rPr>
                <w:rFonts w:ascii="仿宋_GB2312" w:hAnsi="仿宋_GB2312" w:cs="仿宋_GB2312" w:eastAsia="仿宋_GB2312"/>
                <w:sz w:val="21"/>
              </w:rPr>
              <w:t>（三）采购人的各类桌面终端设备及配套设备运维服务。</w:t>
            </w:r>
          </w:p>
          <w:p>
            <w:pPr>
              <w:pStyle w:val="null3"/>
              <w:ind w:firstLine="420"/>
              <w:jc w:val="both"/>
            </w:pPr>
            <w:r>
              <w:rPr>
                <w:rFonts w:ascii="仿宋_GB2312" w:hAnsi="仿宋_GB2312" w:cs="仿宋_GB2312" w:eastAsia="仿宋_GB2312"/>
                <w:sz w:val="21"/>
              </w:rPr>
              <w:t>（四）在服务期内，供应商应当保证所有运维对象运行正常、平稳、安全、可靠运行，解决除业务（应用）系统外所有操作系统级别软件故障，确保业务系统正常运行。</w:t>
            </w:r>
          </w:p>
          <w:p>
            <w:pPr>
              <w:pStyle w:val="null3"/>
              <w:ind w:firstLine="420"/>
              <w:jc w:val="both"/>
            </w:pPr>
            <w:r>
              <w:rPr>
                <w:rFonts w:ascii="仿宋_GB2312" w:hAnsi="仿宋_GB2312" w:cs="仿宋_GB2312" w:eastAsia="仿宋_GB2312"/>
                <w:sz w:val="21"/>
              </w:rPr>
              <w:t>（五）在服务期内，供应商应组建驻场服务团队，团队成员应具相关技术服务能力，提供</w:t>
            </w:r>
            <w:r>
              <w:rPr>
                <w:rFonts w:ascii="仿宋_GB2312" w:hAnsi="仿宋_GB2312" w:cs="仿宋_GB2312" w:eastAsia="仿宋_GB2312"/>
                <w:sz w:val="21"/>
              </w:rPr>
              <w:t>5*8</w:t>
            </w:r>
            <w:r>
              <w:rPr>
                <w:rFonts w:ascii="仿宋_GB2312" w:hAnsi="仿宋_GB2312" w:cs="仿宋_GB2312" w:eastAsia="仿宋_GB2312"/>
                <w:sz w:val="21"/>
              </w:rPr>
              <w:t>小时现场服务，</w:t>
            </w:r>
            <w:r>
              <w:rPr>
                <w:rFonts w:ascii="仿宋_GB2312" w:hAnsi="仿宋_GB2312" w:cs="仿宋_GB2312" w:eastAsia="仿宋_GB2312"/>
                <w:sz w:val="21"/>
              </w:rPr>
              <w:t>7*24</w:t>
            </w:r>
            <w:r>
              <w:rPr>
                <w:rFonts w:ascii="仿宋_GB2312" w:hAnsi="仿宋_GB2312" w:cs="仿宋_GB2312" w:eastAsia="仿宋_GB2312"/>
                <w:sz w:val="21"/>
              </w:rPr>
              <w:t>小时服务响应及特殊时段</w:t>
            </w:r>
            <w:r>
              <w:rPr>
                <w:rFonts w:ascii="仿宋_GB2312" w:hAnsi="仿宋_GB2312" w:cs="仿宋_GB2312" w:eastAsia="仿宋_GB2312"/>
                <w:sz w:val="21"/>
              </w:rPr>
              <w:t>24</w:t>
            </w:r>
            <w:r>
              <w:rPr>
                <w:rFonts w:ascii="仿宋_GB2312" w:hAnsi="仿宋_GB2312" w:cs="仿宋_GB2312" w:eastAsia="仿宋_GB2312"/>
                <w:sz w:val="21"/>
              </w:rPr>
              <w:t>小时驻场服务（如重大会议、重要活动、业务高峰期和其他对系统设备稳定性、安全性要求较高的特殊时段）。</w:t>
            </w:r>
          </w:p>
          <w:p>
            <w:pPr>
              <w:pStyle w:val="null3"/>
              <w:ind w:firstLine="420"/>
              <w:jc w:val="both"/>
            </w:pPr>
            <w:r>
              <w:rPr>
                <w:rFonts w:ascii="仿宋_GB2312" w:hAnsi="仿宋_GB2312" w:cs="仿宋_GB2312" w:eastAsia="仿宋_GB2312"/>
                <w:sz w:val="21"/>
              </w:rPr>
              <w:t>（六）服务期：壹年。</w:t>
            </w:r>
          </w:p>
          <w:p>
            <w:pPr>
              <w:pStyle w:val="null3"/>
              <w:ind w:firstLine="420"/>
              <w:jc w:val="both"/>
            </w:pPr>
            <w:r>
              <w:rPr>
                <w:rFonts w:ascii="仿宋_GB2312" w:hAnsi="仿宋_GB2312" w:cs="仿宋_GB2312" w:eastAsia="仿宋_GB2312"/>
                <w:sz w:val="21"/>
              </w:rPr>
              <w:t>（七）服务清单见附件。</w:t>
            </w:r>
          </w:p>
          <w:p>
            <w:pPr>
              <w:pStyle w:val="null3"/>
              <w:ind w:firstLine="420"/>
              <w:jc w:val="both"/>
            </w:pPr>
            <w:r>
              <w:rPr>
                <w:rFonts w:ascii="仿宋_GB2312" w:hAnsi="仿宋_GB2312" w:cs="仿宋_GB2312" w:eastAsia="仿宋_GB2312"/>
                <w:sz w:val="21"/>
              </w:rPr>
              <w:t>四、技术服务内容</w:t>
            </w:r>
          </w:p>
          <w:p>
            <w:pPr>
              <w:pStyle w:val="null3"/>
              <w:ind w:firstLine="420"/>
              <w:jc w:val="both"/>
            </w:pPr>
            <w:r>
              <w:rPr>
                <w:rFonts w:ascii="仿宋_GB2312" w:hAnsi="仿宋_GB2312" w:cs="仿宋_GB2312" w:eastAsia="仿宋_GB2312"/>
                <w:sz w:val="21"/>
              </w:rPr>
              <w:t>供应商提供详细的技术服务方案，须包含参与服务的人员组织结构及部署情况（包括驻场人员人数、人员分布情况、主要人员的职责或角色、学历或技术背景、安全背景等）、服务响应、问题解决等。具体技术服务内容如下：</w:t>
            </w:r>
          </w:p>
          <w:p>
            <w:pPr>
              <w:pStyle w:val="null3"/>
              <w:ind w:firstLine="420"/>
              <w:jc w:val="both"/>
            </w:pPr>
            <w:r>
              <w:rPr>
                <w:rFonts w:ascii="仿宋_GB2312" w:hAnsi="仿宋_GB2312" w:cs="仿宋_GB2312" w:eastAsia="仿宋_GB2312"/>
                <w:sz w:val="21"/>
              </w:rPr>
              <w:t>（一）数据中心运维技术服务</w:t>
            </w:r>
          </w:p>
          <w:p>
            <w:pPr>
              <w:pStyle w:val="null3"/>
              <w:ind w:firstLine="420"/>
              <w:jc w:val="both"/>
            </w:pPr>
            <w:r>
              <w:rPr>
                <w:rFonts w:ascii="仿宋_GB2312" w:hAnsi="仿宋_GB2312" w:cs="仿宋_GB2312" w:eastAsia="仿宋_GB2312"/>
                <w:sz w:val="21"/>
              </w:rPr>
              <w:t>供应商负责采购人的数据中心设备（服务器、交换机、存储、防火墙、云计算平台、大数据平台等）技术维护工作。</w:t>
            </w:r>
          </w:p>
          <w:p>
            <w:pPr>
              <w:pStyle w:val="null3"/>
              <w:ind w:firstLine="420"/>
              <w:jc w:val="both"/>
            </w:pPr>
            <w:r>
              <w:rPr>
                <w:rFonts w:ascii="仿宋_GB2312" w:hAnsi="仿宋_GB2312" w:cs="仿宋_GB2312" w:eastAsia="仿宋_GB2312"/>
                <w:sz w:val="21"/>
              </w:rPr>
              <w:t>供应商需派遣驻场工程师进行服务（工作时间按照采购人正常上班执行），遵守采购人相关规定，保证设备</w:t>
            </w:r>
            <w:r>
              <w:rPr>
                <w:rFonts w:ascii="仿宋_GB2312" w:hAnsi="仿宋_GB2312" w:cs="仿宋_GB2312" w:eastAsia="仿宋_GB2312"/>
                <w:sz w:val="21"/>
              </w:rPr>
              <w:t>7*24</w:t>
            </w:r>
            <w:r>
              <w:rPr>
                <w:rFonts w:ascii="仿宋_GB2312" w:hAnsi="仿宋_GB2312" w:cs="仿宋_GB2312" w:eastAsia="仿宋_GB2312"/>
                <w:sz w:val="21"/>
              </w:rPr>
              <w:t>小时正常运行。</w:t>
            </w:r>
          </w:p>
          <w:p>
            <w:pPr>
              <w:pStyle w:val="null3"/>
              <w:ind w:firstLine="420"/>
              <w:jc w:val="both"/>
            </w:pPr>
            <w:r>
              <w:rPr>
                <w:rFonts w:ascii="仿宋_GB2312" w:hAnsi="仿宋_GB2312" w:cs="仿宋_GB2312" w:eastAsia="仿宋_GB2312"/>
                <w:sz w:val="21"/>
              </w:rPr>
              <w:t>供应商应当提供不限于以下数据中心运维服务：</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机房基础设施规划。供应商应对机房内机柜剩余容量、电力负载等现状进行统计分析，给出扩容规划，避免盲目新增机柜、设备。</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服务器、存储、虚拟化维护。供应商应对数据中心私有云资源池梳理、虚拟机资源超配整治、高可用策略调优，减少宕机和业务卡顿。对存储</w:t>
            </w:r>
            <w:r>
              <w:rPr>
                <w:rFonts w:ascii="仿宋_GB2312" w:hAnsi="仿宋_GB2312" w:cs="仿宋_GB2312" w:eastAsia="仿宋_GB2312"/>
                <w:sz w:val="21"/>
              </w:rPr>
              <w:t>RAID</w:t>
            </w:r>
            <w:r>
              <w:rPr>
                <w:rFonts w:ascii="仿宋_GB2312" w:hAnsi="仿宋_GB2312" w:cs="仿宋_GB2312" w:eastAsia="仿宋_GB2312"/>
                <w:sz w:val="21"/>
              </w:rPr>
              <w:t>组健康巡检、坏盘预判、存储池容量预警，提前规避存储崩盘风险。应对服务器进行不限于看指示灯，做内存、硬盘、阵列卡、固件版本隐患筛查，提前预判硬件故障、主动替换。应对闲置虚拟机、闲置物理服务器下线回收、资源合并复用，降低耗电和成本。</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网络优化工作。供应商应对数据中心全网拓扑梳理与架构规整，包括核心接入层架构梳理、冗余链路优化、二层环路整改、网关路由收敛优化等。应对</w:t>
            </w:r>
            <w:r>
              <w:rPr>
                <w:rFonts w:ascii="仿宋_GB2312" w:hAnsi="仿宋_GB2312" w:cs="仿宋_GB2312" w:eastAsia="仿宋_GB2312"/>
                <w:sz w:val="21"/>
              </w:rPr>
              <w:t>IP</w:t>
            </w:r>
            <w:r>
              <w:rPr>
                <w:rFonts w:ascii="仿宋_GB2312" w:hAnsi="仿宋_GB2312" w:cs="仿宋_GB2312" w:eastAsia="仿宋_GB2312"/>
                <w:sz w:val="21"/>
              </w:rPr>
              <w:t>地址资源集约化管理，制定全网</w:t>
            </w:r>
            <w:r>
              <w:rPr>
                <w:rFonts w:ascii="仿宋_GB2312" w:hAnsi="仿宋_GB2312" w:cs="仿宋_GB2312" w:eastAsia="仿宋_GB2312"/>
                <w:sz w:val="21"/>
              </w:rPr>
              <w:t>IP/MAC</w:t>
            </w:r>
            <w:r>
              <w:rPr>
                <w:rFonts w:ascii="仿宋_GB2312" w:hAnsi="仿宋_GB2312" w:cs="仿宋_GB2312" w:eastAsia="仿宋_GB2312"/>
                <w:sz w:val="21"/>
              </w:rPr>
              <w:t>台账、空闲</w:t>
            </w:r>
            <w:r>
              <w:rPr>
                <w:rFonts w:ascii="仿宋_GB2312" w:hAnsi="仿宋_GB2312" w:cs="仿宋_GB2312" w:eastAsia="仿宋_GB2312"/>
                <w:sz w:val="21"/>
              </w:rPr>
              <w:t>IP</w:t>
            </w:r>
            <w:r>
              <w:rPr>
                <w:rFonts w:ascii="仿宋_GB2312" w:hAnsi="仿宋_GB2312" w:cs="仿宋_GB2312" w:eastAsia="仿宋_GB2312"/>
                <w:sz w:val="21"/>
              </w:rPr>
              <w:t>回收、地址分段规划、</w:t>
            </w:r>
            <w:r>
              <w:rPr>
                <w:rFonts w:ascii="仿宋_GB2312" w:hAnsi="仿宋_GB2312" w:cs="仿宋_GB2312" w:eastAsia="仿宋_GB2312"/>
                <w:sz w:val="21"/>
              </w:rPr>
              <w:t>VLAN</w:t>
            </w:r>
            <w:r>
              <w:rPr>
                <w:rFonts w:ascii="仿宋_GB2312" w:hAnsi="仿宋_GB2312" w:cs="仿宋_GB2312" w:eastAsia="仿宋_GB2312"/>
                <w:sz w:val="21"/>
              </w:rPr>
              <w:t>规范化划分，杜绝</w:t>
            </w:r>
            <w:r>
              <w:rPr>
                <w:rFonts w:ascii="仿宋_GB2312" w:hAnsi="仿宋_GB2312" w:cs="仿宋_GB2312" w:eastAsia="仿宋_GB2312"/>
                <w:sz w:val="21"/>
              </w:rPr>
              <w:t>IP</w:t>
            </w:r>
            <w:r>
              <w:rPr>
                <w:rFonts w:ascii="仿宋_GB2312" w:hAnsi="仿宋_GB2312" w:cs="仿宋_GB2312" w:eastAsia="仿宋_GB2312"/>
                <w:sz w:val="21"/>
              </w:rPr>
              <w:t>冲突与私自修改</w:t>
            </w:r>
            <w:r>
              <w:rPr>
                <w:rFonts w:ascii="仿宋_GB2312" w:hAnsi="仿宋_GB2312" w:cs="仿宋_GB2312" w:eastAsia="仿宋_GB2312"/>
                <w:sz w:val="21"/>
              </w:rPr>
              <w:t>IP</w:t>
            </w:r>
            <w:r>
              <w:rPr>
                <w:rFonts w:ascii="仿宋_GB2312" w:hAnsi="仿宋_GB2312" w:cs="仿宋_GB2312" w:eastAsia="仿宋_GB2312"/>
                <w:sz w:val="21"/>
              </w:rPr>
              <w:t>行为。</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网络安全加固。供应商应对防火墙、</w:t>
            </w:r>
            <w:r>
              <w:rPr>
                <w:rFonts w:ascii="仿宋_GB2312" w:hAnsi="仿宋_GB2312" w:cs="仿宋_GB2312" w:eastAsia="仿宋_GB2312"/>
                <w:sz w:val="21"/>
              </w:rPr>
              <w:t>IPS</w:t>
            </w:r>
            <w:r>
              <w:rPr>
                <w:rFonts w:ascii="仿宋_GB2312" w:hAnsi="仿宋_GB2312" w:cs="仿宋_GB2312" w:eastAsia="仿宋_GB2312"/>
                <w:sz w:val="21"/>
              </w:rPr>
              <w:t>、网络攻击阻断等设备进行专业运维策略梳理、冗余策略收敛、过期策略清理调优、会话保持优化，避免策略混乱导致安全风险和业务中断。定期漏洞扫描、高危漏洞限期整改、端口收敛、弱口令清零、补丁管理闭环。对全网设备进行配置定期备份、版本归档等工作。</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安全合规检查。供应商应根据等保</w:t>
            </w:r>
            <w:r>
              <w:rPr>
                <w:rFonts w:ascii="仿宋_GB2312" w:hAnsi="仿宋_GB2312" w:cs="仿宋_GB2312" w:eastAsia="仿宋_GB2312"/>
                <w:sz w:val="21"/>
              </w:rPr>
              <w:t>2.0</w:t>
            </w:r>
            <w:r>
              <w:rPr>
                <w:rFonts w:ascii="仿宋_GB2312" w:hAnsi="仿宋_GB2312" w:cs="仿宋_GB2312" w:eastAsia="仿宋_GB2312"/>
                <w:sz w:val="21"/>
              </w:rPr>
              <w:t>、密评中的技术要求，常态化开展合规运维自查工作，开展差距自查、整改落地、定期复测、迎检资料整理、等保密评测评配合、问题闭环整改等工作。</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运维标准化体系建设。供应商应编制数据中心资产全生命周期台账，包含网络、服务器、存储、安全设备等全资产建档、维保到期预警、报废更新建议等。制定巡检标准、事件管理、变更管理、变更审批、配置变更留痕等工作流程与规范，形成可审计的运维体系。</w:t>
            </w:r>
          </w:p>
          <w:p>
            <w:pPr>
              <w:pStyle w:val="null3"/>
              <w:ind w:firstLine="420"/>
              <w:jc w:val="both"/>
            </w:pPr>
            <w:r>
              <w:rPr>
                <w:rFonts w:ascii="仿宋_GB2312" w:hAnsi="仿宋_GB2312" w:cs="仿宋_GB2312" w:eastAsia="仿宋_GB2312"/>
                <w:sz w:val="21"/>
              </w:rPr>
              <w:t>7.</w:t>
            </w:r>
            <w:r>
              <w:rPr>
                <w:rFonts w:ascii="仿宋_GB2312" w:hAnsi="仿宋_GB2312" w:cs="仿宋_GB2312" w:eastAsia="仿宋_GB2312"/>
                <w:sz w:val="21"/>
              </w:rPr>
              <w:t>重大会议、政务关键时期专项保障。供应商应在重大关键时期对重要政务系统、大数据平台、云计算平台进行特殊巡检保障、事前全量隐患清零、应急备机备链路待命等准备工作。</w:t>
            </w:r>
          </w:p>
          <w:p>
            <w:pPr>
              <w:pStyle w:val="null3"/>
              <w:ind w:firstLine="420"/>
              <w:jc w:val="both"/>
            </w:pPr>
            <w:r>
              <w:rPr>
                <w:rFonts w:ascii="仿宋_GB2312" w:hAnsi="仿宋_GB2312" w:cs="仿宋_GB2312" w:eastAsia="仿宋_GB2312"/>
                <w:sz w:val="21"/>
              </w:rPr>
              <w:t>（二）视讯系统运维服务</w:t>
            </w:r>
          </w:p>
          <w:p>
            <w:pPr>
              <w:pStyle w:val="null3"/>
              <w:ind w:firstLine="420"/>
              <w:jc w:val="both"/>
            </w:pPr>
            <w:r>
              <w:rPr>
                <w:rFonts w:ascii="仿宋_GB2312" w:hAnsi="仿宋_GB2312" w:cs="仿宋_GB2312" w:eastAsia="仿宋_GB2312"/>
                <w:sz w:val="21"/>
              </w:rPr>
              <w:t>供应商负责采购人的视讯设备（</w:t>
            </w:r>
            <w:r>
              <w:rPr>
                <w:rFonts w:ascii="仿宋_GB2312" w:hAnsi="仿宋_GB2312" w:cs="仿宋_GB2312" w:eastAsia="仿宋_GB2312"/>
                <w:sz w:val="21"/>
              </w:rPr>
              <w:t>MCU</w:t>
            </w:r>
            <w:r>
              <w:rPr>
                <w:rFonts w:ascii="仿宋_GB2312" w:hAnsi="仿宋_GB2312" w:cs="仿宋_GB2312" w:eastAsia="仿宋_GB2312"/>
                <w:sz w:val="21"/>
              </w:rPr>
              <w:t>、会议控制管理服务器、会议终端、摄像头、麦克风、音响、功放、交换机、传输链路设备等）技术维护工作。</w:t>
            </w:r>
          </w:p>
          <w:p>
            <w:pPr>
              <w:pStyle w:val="null3"/>
              <w:ind w:firstLine="420"/>
              <w:jc w:val="both"/>
            </w:pPr>
            <w:r>
              <w:rPr>
                <w:rFonts w:ascii="仿宋_GB2312" w:hAnsi="仿宋_GB2312" w:cs="仿宋_GB2312" w:eastAsia="仿宋_GB2312"/>
                <w:sz w:val="21"/>
              </w:rPr>
              <w:t>供应商需派遣驻场工程师进行服务（工作时间按照采购人正常上班执行），遵守采购人相关规定，保证设备</w:t>
            </w:r>
            <w:r>
              <w:rPr>
                <w:rFonts w:ascii="仿宋_GB2312" w:hAnsi="仿宋_GB2312" w:cs="仿宋_GB2312" w:eastAsia="仿宋_GB2312"/>
                <w:sz w:val="21"/>
              </w:rPr>
              <w:t>7*24</w:t>
            </w:r>
            <w:r>
              <w:rPr>
                <w:rFonts w:ascii="仿宋_GB2312" w:hAnsi="仿宋_GB2312" w:cs="仿宋_GB2312" w:eastAsia="仿宋_GB2312"/>
                <w:sz w:val="21"/>
              </w:rPr>
              <w:t>小时正常运行。</w:t>
            </w:r>
          </w:p>
          <w:p>
            <w:pPr>
              <w:pStyle w:val="null3"/>
              <w:ind w:firstLine="420"/>
              <w:jc w:val="both"/>
            </w:pPr>
            <w:r>
              <w:rPr>
                <w:rFonts w:ascii="仿宋_GB2312" w:hAnsi="仿宋_GB2312" w:cs="仿宋_GB2312" w:eastAsia="仿宋_GB2312"/>
                <w:sz w:val="21"/>
              </w:rPr>
              <w:t>供应商应当提供不限于以下视讯系统运维服务：</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全网视讯拓扑架构梳理与重构。供应商应梳理现有各级</w:t>
            </w:r>
            <w:r>
              <w:rPr>
                <w:rFonts w:ascii="仿宋_GB2312" w:hAnsi="仿宋_GB2312" w:cs="仿宋_GB2312" w:eastAsia="仿宋_GB2312"/>
                <w:sz w:val="21"/>
              </w:rPr>
              <w:t>MCU</w:t>
            </w:r>
            <w:r>
              <w:rPr>
                <w:rFonts w:ascii="仿宋_GB2312" w:hAnsi="仿宋_GB2312" w:cs="仿宋_GB2312" w:eastAsia="仿宋_GB2312"/>
                <w:sz w:val="21"/>
              </w:rPr>
              <w:t>、级联节点、分会场层级、上下级组网关系，整改乱级联、跨域绕行、单点瓶颈，重新规划核心节点、汇聚节点、边缘节点架构。</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多品牌设备兼容适配改造。供应商应对华为、中兴、科达、宝利通等异构设备互通适配，进行协议</w:t>
            </w:r>
            <w:r>
              <w:rPr>
                <w:rFonts w:ascii="仿宋_GB2312" w:hAnsi="仿宋_GB2312" w:cs="仿宋_GB2312" w:eastAsia="仿宋_GB2312"/>
                <w:sz w:val="21"/>
              </w:rPr>
              <w:t>H.323/SIP</w:t>
            </w:r>
            <w:r>
              <w:rPr>
                <w:rFonts w:ascii="仿宋_GB2312" w:hAnsi="仿宋_GB2312" w:cs="仿宋_GB2312" w:eastAsia="仿宋_GB2312"/>
                <w:sz w:val="21"/>
              </w:rPr>
              <w:t>互转、码流协商适配，解决不同品牌拉不进会、音视频不兼容。</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终端纳管集约化改造。供应商应对零散终端全部纳入平台统一管控，实现批量配置、批量升级、状态统一监控，告别逐个现场调试。</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音视频质量专项治理。供应商应对回音抑制参数调优、麦克风拾音范围调校、自动增益</w:t>
            </w:r>
            <w:r>
              <w:rPr>
                <w:rFonts w:ascii="仿宋_GB2312" w:hAnsi="仿宋_GB2312" w:cs="仿宋_GB2312" w:eastAsia="仿宋_GB2312"/>
                <w:sz w:val="21"/>
              </w:rPr>
              <w:t>AGC</w:t>
            </w:r>
            <w:r>
              <w:rPr>
                <w:rFonts w:ascii="仿宋_GB2312" w:hAnsi="仿宋_GB2312" w:cs="仿宋_GB2312" w:eastAsia="仿宋_GB2312"/>
                <w:sz w:val="21"/>
              </w:rPr>
              <w:t>参数精细调参，解决开会啸叫、杂音、听不清。针对偏远网点低带宽、弱网环境，定制容错编码、冗余发包、降码率自适应策略，保障低带宽下正常开会。</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标准化作业手册编制。供应商应制定全网统一操作规范、故障排查手册、新会场建设标准、运维作业流程，实现运维标准化、不依赖个人经验。</w:t>
            </w:r>
          </w:p>
          <w:p>
            <w:pPr>
              <w:pStyle w:val="null3"/>
              <w:ind w:firstLine="420"/>
              <w:jc w:val="both"/>
            </w:pPr>
            <w:r>
              <w:rPr>
                <w:rFonts w:ascii="仿宋_GB2312" w:hAnsi="仿宋_GB2312" w:cs="仿宋_GB2312" w:eastAsia="仿宋_GB2312"/>
                <w:sz w:val="21"/>
              </w:rPr>
              <w:t>（三）桌面终端运维服务</w:t>
            </w:r>
          </w:p>
          <w:p>
            <w:pPr>
              <w:pStyle w:val="null3"/>
              <w:ind w:firstLine="420"/>
              <w:jc w:val="both"/>
            </w:pPr>
            <w:r>
              <w:rPr>
                <w:rFonts w:ascii="仿宋_GB2312" w:hAnsi="仿宋_GB2312" w:cs="仿宋_GB2312" w:eastAsia="仿宋_GB2312"/>
                <w:sz w:val="21"/>
              </w:rPr>
              <w:t>供应商负责采购人的桌面终端（电脑、打印机、传真机等各类外设）技术维护工作。</w:t>
            </w:r>
          </w:p>
          <w:p>
            <w:pPr>
              <w:pStyle w:val="null3"/>
              <w:ind w:firstLine="420"/>
              <w:jc w:val="both"/>
            </w:pPr>
            <w:r>
              <w:rPr>
                <w:rFonts w:ascii="仿宋_GB2312" w:hAnsi="仿宋_GB2312" w:cs="仿宋_GB2312" w:eastAsia="仿宋_GB2312"/>
                <w:sz w:val="21"/>
              </w:rPr>
              <w:t>供应商需派遣驻场工程师进行服务（工作时间按照采购人正常上班执行），遵守采购人相关规定，保证设备</w:t>
            </w:r>
            <w:r>
              <w:rPr>
                <w:rFonts w:ascii="仿宋_GB2312" w:hAnsi="仿宋_GB2312" w:cs="仿宋_GB2312" w:eastAsia="仿宋_GB2312"/>
                <w:sz w:val="21"/>
              </w:rPr>
              <w:t>7*24</w:t>
            </w:r>
            <w:r>
              <w:rPr>
                <w:rFonts w:ascii="仿宋_GB2312" w:hAnsi="仿宋_GB2312" w:cs="仿宋_GB2312" w:eastAsia="仿宋_GB2312"/>
                <w:sz w:val="21"/>
              </w:rPr>
              <w:t>小时正常运行。</w:t>
            </w:r>
          </w:p>
          <w:p>
            <w:pPr>
              <w:pStyle w:val="null3"/>
              <w:ind w:firstLine="420"/>
              <w:jc w:val="both"/>
            </w:pPr>
            <w:r>
              <w:rPr>
                <w:rFonts w:ascii="仿宋_GB2312" w:hAnsi="仿宋_GB2312" w:cs="仿宋_GB2312" w:eastAsia="仿宋_GB2312"/>
                <w:sz w:val="21"/>
              </w:rPr>
              <w:t>供应商应当提供不限于以下桌面终端运维服务：</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终端安全合规。供应商应按政务外网、内网安全要求，统一终端安全基线：账号策略、密码复杂度、屏保锁屏、共享关闭、端口封禁、注册表加固、禁用</w:t>
            </w:r>
            <w:r>
              <w:rPr>
                <w:rFonts w:ascii="仿宋_GB2312" w:hAnsi="仿宋_GB2312" w:cs="仿宋_GB2312" w:eastAsia="仿宋_GB2312"/>
                <w:sz w:val="21"/>
              </w:rPr>
              <w:t>U</w:t>
            </w:r>
            <w:r>
              <w:rPr>
                <w:rFonts w:ascii="仿宋_GB2312" w:hAnsi="仿宋_GB2312" w:cs="仿宋_GB2312" w:eastAsia="仿宋_GB2312"/>
                <w:sz w:val="21"/>
              </w:rPr>
              <w:t>盘自动运行。禁用违规外设、管控</w:t>
            </w:r>
            <w:r>
              <w:rPr>
                <w:rFonts w:ascii="仿宋_GB2312" w:hAnsi="仿宋_GB2312" w:cs="仿宋_GB2312" w:eastAsia="仿宋_GB2312"/>
                <w:sz w:val="21"/>
              </w:rPr>
              <w:t>U</w:t>
            </w:r>
            <w:r>
              <w:rPr>
                <w:rFonts w:ascii="仿宋_GB2312" w:hAnsi="仿宋_GB2312" w:cs="仿宋_GB2312" w:eastAsia="仿宋_GB2312"/>
                <w:sz w:val="21"/>
              </w:rPr>
              <w:t>盘使用、封堵蓝牙</w:t>
            </w:r>
            <w:r>
              <w:rPr>
                <w:rFonts w:ascii="仿宋_GB2312" w:hAnsi="仿宋_GB2312" w:cs="仿宋_GB2312" w:eastAsia="仿宋_GB2312"/>
                <w:sz w:val="21"/>
              </w:rPr>
              <w:t>/</w:t>
            </w:r>
            <w:r>
              <w:rPr>
                <w:rFonts w:ascii="仿宋_GB2312" w:hAnsi="仿宋_GB2312" w:cs="仿宋_GB2312" w:eastAsia="仿宋_GB2312"/>
                <w:sz w:val="21"/>
              </w:rPr>
              <w:t>红外</w:t>
            </w:r>
            <w:r>
              <w:rPr>
                <w:rFonts w:ascii="仿宋_GB2312" w:hAnsi="仿宋_GB2312" w:cs="仿宋_GB2312" w:eastAsia="仿宋_GB2312"/>
                <w:sz w:val="21"/>
              </w:rPr>
              <w:t>/</w:t>
            </w:r>
            <w:r>
              <w:rPr>
                <w:rFonts w:ascii="仿宋_GB2312" w:hAnsi="仿宋_GB2312" w:cs="仿宋_GB2312" w:eastAsia="仿宋_GB2312"/>
                <w:sz w:val="21"/>
              </w:rPr>
              <w:t>无线投屏、禁止私接热点、私接外网，防止内网泄密、摆渡攻击。</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资产全生命周期管理。供应商应进行终端资产数字化台账全量梳理，对电脑、打印机、外设、显示器按部门、责任人、采购时间、维保到期、</w:t>
            </w:r>
            <w:r>
              <w:rPr>
                <w:rFonts w:ascii="仿宋_GB2312" w:hAnsi="仿宋_GB2312" w:cs="仿宋_GB2312" w:eastAsia="仿宋_GB2312"/>
                <w:sz w:val="21"/>
              </w:rPr>
              <w:t>IP</w:t>
            </w:r>
            <w:r>
              <w:rPr>
                <w:rFonts w:ascii="仿宋_GB2312" w:hAnsi="仿宋_GB2312" w:cs="仿宋_GB2312" w:eastAsia="仿宋_GB2312"/>
                <w:sz w:val="21"/>
              </w:rPr>
              <w:t>、</w:t>
            </w:r>
            <w:r>
              <w:rPr>
                <w:rFonts w:ascii="仿宋_GB2312" w:hAnsi="仿宋_GB2312" w:cs="仿宋_GB2312" w:eastAsia="仿宋_GB2312"/>
                <w:sz w:val="21"/>
              </w:rPr>
              <w:t>MAC</w:t>
            </w:r>
            <w:r>
              <w:rPr>
                <w:rFonts w:ascii="仿宋_GB2312" w:hAnsi="仿宋_GB2312" w:cs="仿宋_GB2312" w:eastAsia="仿宋_GB2312"/>
                <w:sz w:val="21"/>
              </w:rPr>
              <w:t>全信息建档，动态更新，适配资产盘点、财政资产审计。检测硬盘健康、内存衰减、主板老化、开机慢、卡顿根源，出具逐年报废、分批更新替换建议，协助采购人制定相关采购预算等。协助采购人清理闲置电脑、外设，跨部门调拨、重装合规系统再利用，减少新增采购预算。协助采购人报废电脑数据彻底脱敏、硬盘清零、符合涉密销毁规范，出具销毁证明，杜绝数据残留泄密。</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主动预防与相关治理。供应商应分析故障桌面终端蓝屏、死机、卡顿、重启的真实根源（驱动冲突、软件冲突、硬盘坏道、域策略异常），批量整改同类隐患。</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制定标准化文档。供应商应对桌面终端运维进行故障统计、终端在线率、安全风险统计、问题趋势分析、优化建议等统计工作。编写桌面终端标准化手册、操作</w:t>
            </w:r>
            <w:r>
              <w:rPr>
                <w:rFonts w:ascii="仿宋_GB2312" w:hAnsi="仿宋_GB2312" w:cs="仿宋_GB2312" w:eastAsia="仿宋_GB2312"/>
                <w:sz w:val="21"/>
              </w:rPr>
              <w:t>FAQ</w:t>
            </w:r>
            <w:r>
              <w:rPr>
                <w:rFonts w:ascii="仿宋_GB2312" w:hAnsi="仿宋_GB2312" w:cs="仿宋_GB2312" w:eastAsia="仿宋_GB2312"/>
                <w:sz w:val="21"/>
              </w:rPr>
              <w:t>等终端使用规范、安全操作准则、常见故障自助处理，减少重复报修。</w:t>
            </w:r>
          </w:p>
          <w:p>
            <w:pPr>
              <w:pStyle w:val="null3"/>
              <w:ind w:firstLine="420"/>
              <w:jc w:val="both"/>
            </w:pPr>
            <w:r>
              <w:rPr>
                <w:rFonts w:ascii="仿宋_GB2312" w:hAnsi="仿宋_GB2312" w:cs="仿宋_GB2312" w:eastAsia="仿宋_GB2312"/>
                <w:sz w:val="21"/>
              </w:rPr>
              <w:t>（四）应急处理</w:t>
            </w:r>
          </w:p>
          <w:p>
            <w:pPr>
              <w:pStyle w:val="null3"/>
              <w:ind w:firstLine="420"/>
              <w:jc w:val="both"/>
            </w:pPr>
            <w:r>
              <w:rPr>
                <w:rFonts w:ascii="仿宋_GB2312" w:hAnsi="仿宋_GB2312" w:cs="仿宋_GB2312" w:eastAsia="仿宋_GB2312"/>
                <w:sz w:val="21"/>
              </w:rPr>
              <w:t>在了解采购人业务需求和服务质量要求的前提下，供应商应确定应急预案的范围与目标，制定切实可行的应急预案、具体实施步骤和评价标准，确保最短时间内恢复服务，以保证业务的连续性和可用性。据此，双方需共同讨论以完成应急预案的设计制定和修订完善。</w:t>
            </w:r>
          </w:p>
          <w:p>
            <w:pPr>
              <w:pStyle w:val="null3"/>
              <w:ind w:firstLine="420"/>
              <w:jc w:val="both"/>
            </w:pPr>
            <w:r>
              <w:rPr>
                <w:rFonts w:ascii="仿宋_GB2312" w:hAnsi="仿宋_GB2312" w:cs="仿宋_GB2312" w:eastAsia="仿宋_GB2312"/>
                <w:sz w:val="21"/>
              </w:rPr>
              <w:t>供应商应定期对运营队伍进行应急预案培训，和基于应急预案的演练，提高应对网络安全风险事件的组织指挥能力和应急处置能力。</w:t>
            </w:r>
          </w:p>
          <w:p>
            <w:pPr>
              <w:pStyle w:val="null3"/>
              <w:ind w:firstLine="420"/>
              <w:jc w:val="both"/>
            </w:pPr>
            <w:r>
              <w:rPr>
                <w:rFonts w:ascii="仿宋_GB2312" w:hAnsi="仿宋_GB2312" w:cs="仿宋_GB2312" w:eastAsia="仿宋_GB2312"/>
                <w:sz w:val="21"/>
              </w:rPr>
              <w:t>在发现重大突发威胁时，运营队伍应按采购人指令要求，按照应急预案进行处置。</w:t>
            </w:r>
          </w:p>
          <w:p>
            <w:pPr>
              <w:pStyle w:val="null3"/>
              <w:ind w:firstLine="420"/>
              <w:jc w:val="both"/>
            </w:pPr>
            <w:r>
              <w:rPr>
                <w:rFonts w:ascii="仿宋_GB2312" w:hAnsi="仿宋_GB2312" w:cs="仿宋_GB2312" w:eastAsia="仿宋_GB2312"/>
                <w:sz w:val="21"/>
              </w:rPr>
              <w:t>（五）服务方式</w:t>
            </w:r>
          </w:p>
          <w:p>
            <w:pPr>
              <w:pStyle w:val="null3"/>
              <w:ind w:firstLine="420"/>
              <w:jc w:val="both"/>
            </w:pPr>
            <w:r>
              <w:rPr>
                <w:rFonts w:ascii="仿宋_GB2312" w:hAnsi="仿宋_GB2312" w:cs="仿宋_GB2312" w:eastAsia="仿宋_GB2312"/>
                <w:sz w:val="21"/>
              </w:rPr>
              <w:t>供应商提供故障热线服务电话（如有更改将提前一周通知采购人）；供应商为采购人成立项目维护小组，并提供小组成员联系方式，项目组成员在运维期内</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24</w:t>
            </w:r>
            <w:r>
              <w:rPr>
                <w:rFonts w:ascii="仿宋_GB2312" w:hAnsi="仿宋_GB2312" w:cs="仿宋_GB2312" w:eastAsia="仿宋_GB2312"/>
                <w:sz w:val="21"/>
              </w:rPr>
              <w:t>小时响应；一切维修、保养服务的工作时间应与采购人工作时间配合；若采购人假期与供应商不一致，供应商将提前一周向采购人提供服务值班人员联系方式；如软件或数据出现问题，供应商有义务同采购人一起进行修复；按采购人工作指令开展异地安全业务支撑服务，返回后须提交相关工作报告。</w:t>
            </w:r>
          </w:p>
          <w:p>
            <w:pPr>
              <w:pStyle w:val="null3"/>
              <w:ind w:firstLine="420"/>
              <w:jc w:val="both"/>
            </w:pPr>
            <w:r>
              <w:rPr>
                <w:rFonts w:ascii="仿宋_GB2312" w:hAnsi="仿宋_GB2312" w:cs="仿宋_GB2312" w:eastAsia="仿宋_GB2312"/>
                <w:sz w:val="21"/>
              </w:rPr>
              <w:t>五、驻场服务内容</w:t>
            </w:r>
          </w:p>
          <w:p>
            <w:pPr>
              <w:pStyle w:val="null3"/>
              <w:ind w:firstLine="420"/>
              <w:jc w:val="both"/>
            </w:pPr>
            <w:r>
              <w:rPr>
                <w:rFonts w:ascii="仿宋_GB2312" w:hAnsi="仿宋_GB2312" w:cs="仿宋_GB2312" w:eastAsia="仿宋_GB2312"/>
                <w:sz w:val="21"/>
              </w:rPr>
              <w:t>（一）每周值班例行工作</w:t>
            </w:r>
          </w:p>
          <w:p>
            <w:pPr>
              <w:pStyle w:val="null3"/>
              <w:ind w:firstLine="420"/>
              <w:jc w:val="both"/>
            </w:pPr>
            <w:r>
              <w:rPr>
                <w:rFonts w:ascii="仿宋_GB2312" w:hAnsi="仿宋_GB2312" w:cs="仿宋_GB2312" w:eastAsia="仿宋_GB2312"/>
                <w:sz w:val="21"/>
              </w:rPr>
              <w:t>机房设备巡检</w:t>
            </w:r>
            <w:r>
              <w:rPr>
                <w:rFonts w:ascii="仿宋_GB2312" w:hAnsi="仿宋_GB2312" w:cs="仿宋_GB2312" w:eastAsia="仿宋_GB2312"/>
                <w:sz w:val="21"/>
              </w:rPr>
              <w:t>1</w:t>
            </w:r>
            <w:r>
              <w:rPr>
                <w:rFonts w:ascii="仿宋_GB2312" w:hAnsi="仿宋_GB2312" w:cs="仿宋_GB2312" w:eastAsia="仿宋_GB2312"/>
                <w:sz w:val="21"/>
              </w:rPr>
              <w:t>次，视频系统设备巡检</w:t>
            </w:r>
            <w:r>
              <w:rPr>
                <w:rFonts w:ascii="仿宋_GB2312" w:hAnsi="仿宋_GB2312" w:cs="仿宋_GB2312" w:eastAsia="仿宋_GB2312"/>
                <w:sz w:val="21"/>
              </w:rPr>
              <w:t>1</w:t>
            </w:r>
            <w:r>
              <w:rPr>
                <w:rFonts w:ascii="仿宋_GB2312" w:hAnsi="仿宋_GB2312" w:cs="仿宋_GB2312" w:eastAsia="仿宋_GB2312"/>
                <w:sz w:val="21"/>
              </w:rPr>
              <w:t>次。检查所有设备（服务器、网络、存储、视讯等设备）状态灯有无告警，网络是否正常工作。</w:t>
            </w:r>
          </w:p>
          <w:p>
            <w:pPr>
              <w:pStyle w:val="null3"/>
              <w:ind w:firstLine="420"/>
              <w:jc w:val="both"/>
            </w:pPr>
            <w:r>
              <w:rPr>
                <w:rFonts w:ascii="仿宋_GB2312" w:hAnsi="仿宋_GB2312" w:cs="仿宋_GB2312" w:eastAsia="仿宋_GB2312"/>
                <w:sz w:val="21"/>
              </w:rPr>
              <w:t>如果有故障发生首先在</w:t>
            </w:r>
            <w:r>
              <w:rPr>
                <w:rFonts w:ascii="仿宋_GB2312" w:hAnsi="仿宋_GB2312" w:cs="仿宋_GB2312" w:eastAsia="仿宋_GB2312"/>
                <w:sz w:val="21"/>
              </w:rPr>
              <w:t>“日常检查记录表”详细记录故障发生时间、故障描述、故障处理过程、故障结束时间、处置人等信息。故障发现人跟踪故障处理过程直到故障处理结束，驻场人员跟踪机房内所有故障处理过程直至故障处理结束。</w:t>
            </w:r>
          </w:p>
          <w:p>
            <w:pPr>
              <w:pStyle w:val="null3"/>
              <w:ind w:firstLine="420"/>
              <w:jc w:val="both"/>
            </w:pPr>
            <w:r>
              <w:rPr>
                <w:rFonts w:ascii="仿宋_GB2312" w:hAnsi="仿宋_GB2312" w:cs="仿宋_GB2312" w:eastAsia="仿宋_GB2312"/>
                <w:sz w:val="21"/>
              </w:rPr>
              <w:t>如果有人进机房维护设备操作，须填写</w:t>
            </w:r>
            <w:r>
              <w:rPr>
                <w:rFonts w:ascii="仿宋_GB2312" w:hAnsi="仿宋_GB2312" w:cs="仿宋_GB2312" w:eastAsia="仿宋_GB2312"/>
                <w:sz w:val="21"/>
              </w:rPr>
              <w:t>“设备操作申请单”并经管理人员签字确认后方可进机房维护操作。</w:t>
            </w:r>
          </w:p>
          <w:p>
            <w:pPr>
              <w:pStyle w:val="null3"/>
              <w:ind w:firstLine="420"/>
              <w:jc w:val="both"/>
            </w:pPr>
            <w:r>
              <w:rPr>
                <w:rFonts w:ascii="仿宋_GB2312" w:hAnsi="仿宋_GB2312" w:cs="仿宋_GB2312" w:eastAsia="仿宋_GB2312"/>
                <w:sz w:val="21"/>
              </w:rPr>
              <w:t>如果有其他项目基于机房相关设备实施，须制定相应实施流程。</w:t>
            </w:r>
          </w:p>
          <w:p>
            <w:pPr>
              <w:pStyle w:val="null3"/>
              <w:ind w:firstLine="420"/>
              <w:jc w:val="both"/>
            </w:pPr>
            <w:r>
              <w:rPr>
                <w:rFonts w:ascii="仿宋_GB2312" w:hAnsi="仿宋_GB2312" w:cs="仿宋_GB2312" w:eastAsia="仿宋_GB2312"/>
                <w:sz w:val="21"/>
              </w:rPr>
              <w:t>（二）每月、半年、年度例行工作</w:t>
            </w:r>
          </w:p>
          <w:p>
            <w:pPr>
              <w:pStyle w:val="null3"/>
              <w:ind w:firstLine="420"/>
              <w:jc w:val="both"/>
            </w:pPr>
            <w:r>
              <w:rPr>
                <w:rFonts w:ascii="仿宋_GB2312" w:hAnsi="仿宋_GB2312" w:cs="仿宋_GB2312" w:eastAsia="仿宋_GB2312"/>
                <w:sz w:val="21"/>
              </w:rPr>
              <w:t>每月</w:t>
            </w:r>
            <w:r>
              <w:rPr>
                <w:rFonts w:ascii="仿宋_GB2312" w:hAnsi="仿宋_GB2312" w:cs="仿宋_GB2312" w:eastAsia="仿宋_GB2312"/>
                <w:sz w:val="21"/>
              </w:rPr>
              <w:t>15</w:t>
            </w:r>
            <w:r>
              <w:rPr>
                <w:rFonts w:ascii="仿宋_GB2312" w:hAnsi="仿宋_GB2312" w:cs="仿宋_GB2312" w:eastAsia="仿宋_GB2312"/>
                <w:sz w:val="21"/>
              </w:rPr>
              <w:t>日</w:t>
            </w:r>
            <w:r>
              <w:rPr>
                <w:rFonts w:ascii="仿宋_GB2312" w:hAnsi="仿宋_GB2312" w:cs="仿宋_GB2312" w:eastAsia="仿宋_GB2312"/>
                <w:sz w:val="21"/>
              </w:rPr>
              <w:t>-20</w:t>
            </w:r>
            <w:r>
              <w:rPr>
                <w:rFonts w:ascii="仿宋_GB2312" w:hAnsi="仿宋_GB2312" w:cs="仿宋_GB2312" w:eastAsia="仿宋_GB2312"/>
                <w:sz w:val="21"/>
              </w:rPr>
              <w:t>日之间安排相关工程师对设备做深度巡检。</w:t>
            </w:r>
          </w:p>
          <w:p>
            <w:pPr>
              <w:pStyle w:val="null3"/>
              <w:ind w:firstLine="420"/>
              <w:jc w:val="both"/>
            </w:pPr>
            <w:r>
              <w:rPr>
                <w:rFonts w:ascii="仿宋_GB2312" w:hAnsi="仿宋_GB2312" w:cs="仿宋_GB2312" w:eastAsia="仿宋_GB2312"/>
                <w:sz w:val="21"/>
              </w:rPr>
              <w:t>每月初</w:t>
            </w:r>
            <w:r>
              <w:rPr>
                <w:rFonts w:ascii="仿宋_GB2312" w:hAnsi="仿宋_GB2312" w:cs="仿宋_GB2312" w:eastAsia="仿宋_GB2312"/>
                <w:sz w:val="21"/>
              </w:rPr>
              <w:t>1</w:t>
            </w:r>
            <w:r>
              <w:rPr>
                <w:rFonts w:ascii="仿宋_GB2312" w:hAnsi="仿宋_GB2312" w:cs="仿宋_GB2312" w:eastAsia="仿宋_GB2312"/>
                <w:sz w:val="21"/>
              </w:rPr>
              <w:t>日</w:t>
            </w:r>
            <w:r>
              <w:rPr>
                <w:rFonts w:ascii="仿宋_GB2312" w:hAnsi="仿宋_GB2312" w:cs="仿宋_GB2312" w:eastAsia="仿宋_GB2312"/>
                <w:sz w:val="21"/>
              </w:rPr>
              <w:t>-5</w:t>
            </w:r>
            <w:r>
              <w:rPr>
                <w:rFonts w:ascii="仿宋_GB2312" w:hAnsi="仿宋_GB2312" w:cs="仿宋_GB2312" w:eastAsia="仿宋_GB2312"/>
                <w:sz w:val="21"/>
              </w:rPr>
              <w:t>日之间由值班人员统计上月巡检巡查、设备运行、故障记录、配件更换、视频会议保障等情况，向采购人提交“工作月度报告”。</w:t>
            </w:r>
          </w:p>
          <w:p>
            <w:pPr>
              <w:pStyle w:val="null3"/>
              <w:ind w:firstLine="420"/>
              <w:jc w:val="both"/>
            </w:pPr>
            <w:r>
              <w:rPr>
                <w:rFonts w:ascii="仿宋_GB2312" w:hAnsi="仿宋_GB2312" w:cs="仿宋_GB2312" w:eastAsia="仿宋_GB2312"/>
                <w:sz w:val="21"/>
              </w:rPr>
              <w:t>驻场负责人在运维期全年结束后一周内，提交</w:t>
            </w:r>
            <w:r>
              <w:rPr>
                <w:rFonts w:ascii="仿宋_GB2312" w:hAnsi="仿宋_GB2312" w:cs="仿宋_GB2312" w:eastAsia="仿宋_GB2312"/>
                <w:sz w:val="21"/>
              </w:rPr>
              <w:t>“年度运维工作总结报告”。</w:t>
            </w:r>
          </w:p>
          <w:p>
            <w:pPr>
              <w:pStyle w:val="null3"/>
              <w:ind w:firstLine="420"/>
              <w:jc w:val="both"/>
            </w:pPr>
            <w:r>
              <w:rPr>
                <w:rFonts w:ascii="仿宋_GB2312" w:hAnsi="仿宋_GB2312" w:cs="仿宋_GB2312" w:eastAsia="仿宋_GB2312"/>
                <w:sz w:val="21"/>
              </w:rPr>
              <w:t>六、运维指标</w:t>
            </w:r>
          </w:p>
          <w:p>
            <w:pPr>
              <w:pStyle w:val="null3"/>
              <w:ind w:firstLine="420"/>
              <w:jc w:val="both"/>
            </w:pPr>
            <w:r>
              <w:rPr>
                <w:rFonts w:ascii="仿宋_GB2312" w:hAnsi="仿宋_GB2312" w:cs="仿宋_GB2312" w:eastAsia="仿宋_GB2312"/>
                <w:sz w:val="21"/>
              </w:rPr>
              <w:t>本次运维项目中，供应商须在本运维期内达到以下运维指标：</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全运维期内，故障事件按照各级故障事件处理时间按时处理完毕百分比≥</w:t>
            </w:r>
            <w:r>
              <w:rPr>
                <w:rFonts w:ascii="仿宋_GB2312" w:hAnsi="仿宋_GB2312" w:cs="仿宋_GB2312" w:eastAsia="仿宋_GB2312"/>
                <w:sz w:val="21"/>
              </w:rPr>
              <w:t>95%</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全运维期内，技术文档按照各个文档的相应提交周期，按时提交给采购人百分比≥</w:t>
            </w:r>
            <w:r>
              <w:rPr>
                <w:rFonts w:ascii="仿宋_GB2312" w:hAnsi="仿宋_GB2312" w:cs="仿宋_GB2312" w:eastAsia="仿宋_GB2312"/>
                <w:sz w:val="21"/>
              </w:rPr>
              <w:t>95%</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全运维期内，网信技术体系软硬件设施系统正常运行时间的百分比≥</w:t>
            </w:r>
            <w:r>
              <w:rPr>
                <w:rFonts w:ascii="仿宋_GB2312" w:hAnsi="仿宋_GB2312" w:cs="仿宋_GB2312" w:eastAsia="仿宋_GB2312"/>
                <w:sz w:val="21"/>
              </w:rPr>
              <w:t>99%</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全运维期内，视频会议保障无差错率≥</w:t>
            </w:r>
            <w:r>
              <w:rPr>
                <w:rFonts w:ascii="仿宋_GB2312" w:hAnsi="仿宋_GB2312" w:cs="仿宋_GB2312" w:eastAsia="仿宋_GB2312"/>
                <w:sz w:val="21"/>
              </w:rPr>
              <w:t>95%</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七、服务质量考核</w:t>
            </w:r>
          </w:p>
          <w:p>
            <w:pPr>
              <w:pStyle w:val="null3"/>
              <w:ind w:firstLine="420"/>
              <w:jc w:val="both"/>
            </w:pPr>
            <w:r>
              <w:rPr>
                <w:rFonts w:ascii="仿宋_GB2312" w:hAnsi="仿宋_GB2312" w:cs="仿宋_GB2312" w:eastAsia="仿宋_GB2312"/>
                <w:sz w:val="21"/>
              </w:rPr>
              <w:t>在项目执行期间，采购人将对供应商运行维护服务质量进行量化考核（满分</w:t>
            </w:r>
            <w:r>
              <w:rPr>
                <w:rFonts w:ascii="仿宋_GB2312" w:hAnsi="仿宋_GB2312" w:cs="仿宋_GB2312" w:eastAsia="仿宋_GB2312"/>
                <w:sz w:val="21"/>
              </w:rPr>
              <w:t>100</w:t>
            </w:r>
            <w:r>
              <w:rPr>
                <w:rFonts w:ascii="仿宋_GB2312" w:hAnsi="仿宋_GB2312" w:cs="仿宋_GB2312" w:eastAsia="仿宋_GB2312"/>
                <w:sz w:val="21"/>
              </w:rPr>
              <w:t>分），按照考核分数将服务质量评定为四个等级，其中分数在</w:t>
            </w:r>
            <w:r>
              <w:rPr>
                <w:rFonts w:ascii="仿宋_GB2312" w:hAnsi="仿宋_GB2312" w:cs="仿宋_GB2312" w:eastAsia="仿宋_GB2312"/>
                <w:sz w:val="21"/>
              </w:rPr>
              <w:t>90</w:t>
            </w:r>
            <w:r>
              <w:rPr>
                <w:rFonts w:ascii="仿宋_GB2312" w:hAnsi="仿宋_GB2312" w:cs="仿宋_GB2312" w:eastAsia="仿宋_GB2312"/>
                <w:sz w:val="21"/>
              </w:rPr>
              <w:t>分以上（含</w:t>
            </w:r>
            <w:r>
              <w:rPr>
                <w:rFonts w:ascii="仿宋_GB2312" w:hAnsi="仿宋_GB2312" w:cs="仿宋_GB2312" w:eastAsia="仿宋_GB2312"/>
                <w:sz w:val="21"/>
              </w:rPr>
              <w:t>90</w:t>
            </w:r>
            <w:r>
              <w:rPr>
                <w:rFonts w:ascii="仿宋_GB2312" w:hAnsi="仿宋_GB2312" w:cs="仿宋_GB2312" w:eastAsia="仿宋_GB2312"/>
                <w:sz w:val="21"/>
              </w:rPr>
              <w:t>分）评定为“优秀”，分数在</w:t>
            </w:r>
            <w:r>
              <w:rPr>
                <w:rFonts w:ascii="仿宋_GB2312" w:hAnsi="仿宋_GB2312" w:cs="仿宋_GB2312" w:eastAsia="仿宋_GB2312"/>
                <w:sz w:val="21"/>
              </w:rPr>
              <w:t>90</w:t>
            </w:r>
            <w:r>
              <w:rPr>
                <w:rFonts w:ascii="仿宋_GB2312" w:hAnsi="仿宋_GB2312" w:cs="仿宋_GB2312" w:eastAsia="仿宋_GB2312"/>
                <w:sz w:val="21"/>
              </w:rPr>
              <w:t>分至</w:t>
            </w:r>
            <w:r>
              <w:rPr>
                <w:rFonts w:ascii="仿宋_GB2312" w:hAnsi="仿宋_GB2312" w:cs="仿宋_GB2312" w:eastAsia="仿宋_GB2312"/>
                <w:sz w:val="21"/>
              </w:rPr>
              <w:t>80</w:t>
            </w:r>
            <w:r>
              <w:rPr>
                <w:rFonts w:ascii="仿宋_GB2312" w:hAnsi="仿宋_GB2312" w:cs="仿宋_GB2312" w:eastAsia="仿宋_GB2312"/>
                <w:sz w:val="21"/>
              </w:rPr>
              <w:t>分（含</w:t>
            </w:r>
            <w:r>
              <w:rPr>
                <w:rFonts w:ascii="仿宋_GB2312" w:hAnsi="仿宋_GB2312" w:cs="仿宋_GB2312" w:eastAsia="仿宋_GB2312"/>
                <w:sz w:val="21"/>
              </w:rPr>
              <w:t>80</w:t>
            </w:r>
            <w:r>
              <w:rPr>
                <w:rFonts w:ascii="仿宋_GB2312" w:hAnsi="仿宋_GB2312" w:cs="仿宋_GB2312" w:eastAsia="仿宋_GB2312"/>
                <w:sz w:val="21"/>
              </w:rPr>
              <w:t>分）为“良好”，分数在</w:t>
            </w:r>
            <w:r>
              <w:rPr>
                <w:rFonts w:ascii="仿宋_GB2312" w:hAnsi="仿宋_GB2312" w:cs="仿宋_GB2312" w:eastAsia="仿宋_GB2312"/>
                <w:sz w:val="21"/>
              </w:rPr>
              <w:t>80</w:t>
            </w:r>
            <w:r>
              <w:rPr>
                <w:rFonts w:ascii="仿宋_GB2312" w:hAnsi="仿宋_GB2312" w:cs="仿宋_GB2312" w:eastAsia="仿宋_GB2312"/>
                <w:sz w:val="21"/>
              </w:rPr>
              <w:t>分至</w:t>
            </w:r>
            <w:r>
              <w:rPr>
                <w:rFonts w:ascii="仿宋_GB2312" w:hAnsi="仿宋_GB2312" w:cs="仿宋_GB2312" w:eastAsia="仿宋_GB2312"/>
                <w:sz w:val="21"/>
              </w:rPr>
              <w:t>60</w:t>
            </w:r>
            <w:r>
              <w:rPr>
                <w:rFonts w:ascii="仿宋_GB2312" w:hAnsi="仿宋_GB2312" w:cs="仿宋_GB2312" w:eastAsia="仿宋_GB2312"/>
                <w:sz w:val="21"/>
              </w:rPr>
              <w:t>分（含</w:t>
            </w:r>
            <w:r>
              <w:rPr>
                <w:rFonts w:ascii="仿宋_GB2312" w:hAnsi="仿宋_GB2312" w:cs="仿宋_GB2312" w:eastAsia="仿宋_GB2312"/>
                <w:sz w:val="21"/>
              </w:rPr>
              <w:t>60</w:t>
            </w:r>
            <w:r>
              <w:rPr>
                <w:rFonts w:ascii="仿宋_GB2312" w:hAnsi="仿宋_GB2312" w:cs="仿宋_GB2312" w:eastAsia="仿宋_GB2312"/>
                <w:sz w:val="21"/>
              </w:rPr>
              <w:t>分）为“一般”，分数在</w:t>
            </w:r>
            <w:r>
              <w:rPr>
                <w:rFonts w:ascii="仿宋_GB2312" w:hAnsi="仿宋_GB2312" w:cs="仿宋_GB2312" w:eastAsia="仿宋_GB2312"/>
                <w:sz w:val="21"/>
              </w:rPr>
              <w:t>60</w:t>
            </w:r>
            <w:r>
              <w:rPr>
                <w:rFonts w:ascii="仿宋_GB2312" w:hAnsi="仿宋_GB2312" w:cs="仿宋_GB2312" w:eastAsia="仿宋_GB2312"/>
                <w:sz w:val="21"/>
              </w:rPr>
              <w:t>分以下为“不合格”。</w:t>
            </w:r>
          </w:p>
          <w:p>
            <w:pPr>
              <w:pStyle w:val="null3"/>
              <w:ind w:firstLine="420"/>
              <w:jc w:val="both"/>
            </w:pPr>
            <w:r>
              <w:rPr>
                <w:rFonts w:ascii="仿宋_GB2312" w:hAnsi="仿宋_GB2312" w:cs="仿宋_GB2312" w:eastAsia="仿宋_GB2312"/>
                <w:sz w:val="21"/>
              </w:rPr>
              <w:t>供应商与采购人签订合同时应就最终赋分标准进行沟通，以采购人意见为主。</w:t>
            </w:r>
          </w:p>
          <w:p>
            <w:pPr>
              <w:pStyle w:val="null3"/>
              <w:ind w:firstLine="420"/>
              <w:jc w:val="both"/>
            </w:pPr>
            <w:r>
              <w:rPr>
                <w:rFonts w:ascii="仿宋_GB2312" w:hAnsi="仿宋_GB2312" w:cs="仿宋_GB2312" w:eastAsia="仿宋_GB2312"/>
                <w:sz w:val="21"/>
              </w:rPr>
              <w:t>根据本期运维工作最后考核得分衡量服务质量，若最后考核结果为不合格，将按违约处理，全部责任将由供应商自行承担，并支付项目合同额的</w:t>
            </w:r>
            <w:r>
              <w:rPr>
                <w:rFonts w:ascii="仿宋_GB2312" w:hAnsi="仿宋_GB2312" w:cs="仿宋_GB2312" w:eastAsia="仿宋_GB2312"/>
                <w:sz w:val="21"/>
              </w:rPr>
              <w:t>5%</w:t>
            </w:r>
            <w:r>
              <w:rPr>
                <w:rFonts w:ascii="仿宋_GB2312" w:hAnsi="仿宋_GB2312" w:cs="仿宋_GB2312" w:eastAsia="仿宋_GB2312"/>
                <w:sz w:val="21"/>
              </w:rPr>
              <w:t>作为违约赔偿。</w:t>
            </w:r>
          </w:p>
          <w:p>
            <w:pPr>
              <w:pStyle w:val="null3"/>
              <w:ind w:firstLine="420"/>
              <w:jc w:val="both"/>
            </w:pPr>
            <w:r>
              <w:rPr>
                <w:rFonts w:ascii="仿宋_GB2312" w:hAnsi="仿宋_GB2312" w:cs="仿宋_GB2312" w:eastAsia="仿宋_GB2312"/>
                <w:sz w:val="21"/>
              </w:rPr>
              <w:t>八、其它要求</w:t>
            </w:r>
          </w:p>
          <w:p>
            <w:pPr>
              <w:pStyle w:val="null3"/>
              <w:ind w:firstLine="420"/>
              <w:jc w:val="both"/>
            </w:pPr>
            <w:r>
              <w:rPr>
                <w:rFonts w:ascii="仿宋_GB2312" w:hAnsi="仿宋_GB2312" w:cs="仿宋_GB2312" w:eastAsia="仿宋_GB2312"/>
                <w:sz w:val="21"/>
              </w:rPr>
              <w:t>（一）维护保修服务期限内，维修维护费用中包括的人工费均由供应商承担。</w:t>
            </w:r>
          </w:p>
          <w:p>
            <w:pPr>
              <w:pStyle w:val="null3"/>
              <w:ind w:firstLine="420"/>
              <w:jc w:val="both"/>
            </w:pPr>
            <w:r>
              <w:rPr>
                <w:rFonts w:ascii="仿宋_GB2312" w:hAnsi="仿宋_GB2312" w:cs="仿宋_GB2312" w:eastAsia="仿宋_GB2312"/>
                <w:sz w:val="21"/>
              </w:rPr>
              <w:t>（二）供应商须与采购人签订保密协议，对项目相关的各种数据、应用和设备使用情况严格保密。</w:t>
            </w:r>
          </w:p>
          <w:p>
            <w:pPr>
              <w:pStyle w:val="null3"/>
              <w:ind w:firstLine="420"/>
              <w:jc w:val="both"/>
            </w:pPr>
            <w:r>
              <w:rPr>
                <w:rFonts w:ascii="仿宋_GB2312" w:hAnsi="仿宋_GB2312" w:cs="仿宋_GB2312" w:eastAsia="仿宋_GB2312"/>
                <w:sz w:val="21"/>
              </w:rPr>
              <w:t>（三）供应商须组织运维人员与采购人签订保密协议，对运维工作相关的各种数据、应用和设备使用情况严格保密。</w:t>
            </w:r>
          </w:p>
          <w:p>
            <w:pPr>
              <w:pStyle w:val="null3"/>
              <w:ind w:firstLine="420"/>
              <w:jc w:val="both"/>
            </w:pPr>
            <w:r>
              <w:rPr>
                <w:rFonts w:ascii="仿宋_GB2312" w:hAnsi="仿宋_GB2312" w:cs="仿宋_GB2312" w:eastAsia="仿宋_GB2312"/>
                <w:sz w:val="21"/>
              </w:rPr>
              <w:t>附件</w:t>
            </w:r>
            <w:r>
              <w:rPr>
                <w:rFonts w:ascii="仿宋_GB2312" w:hAnsi="仿宋_GB2312" w:cs="仿宋_GB2312" w:eastAsia="仿宋_GB2312"/>
                <w:sz w:val="21"/>
              </w:rPr>
              <w:t>：</w:t>
            </w:r>
            <w:r>
              <w:rPr>
                <w:rFonts w:ascii="仿宋_GB2312" w:hAnsi="仿宋_GB2312" w:cs="仿宋_GB2312" w:eastAsia="仿宋_GB2312"/>
                <w:sz w:val="21"/>
              </w:rPr>
              <w:t>主要维护设备、系统清单</w:t>
            </w:r>
          </w:p>
          <w:p>
            <w:pPr>
              <w:pStyle w:val="null3"/>
              <w:ind w:firstLine="420"/>
              <w:jc w:val="both"/>
            </w:pPr>
            <w:r>
              <w:rPr>
                <w:rFonts w:ascii="仿宋_GB2312" w:hAnsi="仿宋_GB2312" w:cs="仿宋_GB2312" w:eastAsia="仿宋_GB2312"/>
                <w:sz w:val="21"/>
              </w:rPr>
              <w:t>（包括但不限于以下设备）</w:t>
            </w:r>
          </w:p>
          <w:tbl>
            <w:tblPr>
              <w:tblBorders>
                <w:top w:val="none" w:color="000000" w:sz="4"/>
                <w:left w:val="none" w:color="000000" w:sz="4"/>
                <w:bottom w:val="none" w:color="000000" w:sz="4"/>
                <w:right w:val="none" w:color="000000" w:sz="4"/>
                <w:insideH w:val="none"/>
                <w:insideV w:val="none"/>
              </w:tblBorders>
            </w:tblPr>
            <w:tblGrid>
              <w:gridCol w:w="389"/>
              <w:gridCol w:w="1311"/>
              <w:gridCol w:w="853"/>
            </w:tblGrid>
            <w:tr>
              <w:tc>
                <w:tcPr>
                  <w:tcW w:type="dxa" w:w="3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序号</w:t>
                  </w:r>
                </w:p>
              </w:tc>
              <w:tc>
                <w:tcPr>
                  <w:tcW w:type="dxa" w:w="1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设备类型</w:t>
                  </w:r>
                </w:p>
              </w:tc>
              <w:tc>
                <w:tcPr>
                  <w:tcW w:type="dxa" w:w="8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数量</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1</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网络设备</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42</w:t>
                  </w:r>
                  <w:r>
                    <w:rPr>
                      <w:rFonts w:ascii="仿宋_GB2312" w:hAnsi="仿宋_GB2312" w:cs="仿宋_GB2312" w:eastAsia="仿宋_GB2312"/>
                      <w:sz w:val="21"/>
                    </w:rPr>
                    <w:t>台</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2</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网络安全设备</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37</w:t>
                  </w:r>
                  <w:r>
                    <w:rPr>
                      <w:rFonts w:ascii="仿宋_GB2312" w:hAnsi="仿宋_GB2312" w:cs="仿宋_GB2312" w:eastAsia="仿宋_GB2312"/>
                      <w:sz w:val="21"/>
                    </w:rPr>
                    <w:t>台（套）</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3</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服务器</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59</w:t>
                  </w:r>
                  <w:r>
                    <w:rPr>
                      <w:rFonts w:ascii="仿宋_GB2312" w:hAnsi="仿宋_GB2312" w:cs="仿宋_GB2312" w:eastAsia="仿宋_GB2312"/>
                      <w:sz w:val="21"/>
                    </w:rPr>
                    <w:t>台</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4</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存储设备</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台</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5</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应用系统</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13</w:t>
                  </w:r>
                  <w:r>
                    <w:rPr>
                      <w:rFonts w:ascii="仿宋_GB2312" w:hAnsi="仿宋_GB2312" w:cs="仿宋_GB2312" w:eastAsia="仿宋_GB2312"/>
                      <w:sz w:val="21"/>
                    </w:rPr>
                    <w:t>个</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6</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电脑终端</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150</w:t>
                  </w:r>
                  <w:r>
                    <w:rPr>
                      <w:rFonts w:ascii="仿宋_GB2312" w:hAnsi="仿宋_GB2312" w:cs="仿宋_GB2312" w:eastAsia="仿宋_GB2312"/>
                      <w:sz w:val="21"/>
                    </w:rPr>
                    <w:t>台</w:t>
                  </w:r>
                </w:p>
              </w:tc>
            </w:tr>
          </w:tbl>
          <w:p>
            <w:pPr>
              <w:pStyle w:val="null3"/>
              <w:ind w:firstLine="42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供应商应该按照项目的需求配备合理的人员，确保项目实施质量。</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供应商应该按照项目的需求配备合理的设施设备，确保项目实施质量。</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符合国家、地方、行业相关合格标准及采购人要求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其他，合同生效、乙方完成项目进场对接后，达到付款条件起15个工作日内，支付合同总金额的100.0%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1.甲方逾期支付合同款项的，经乙方书面催告且15日催告期满后每逾期一日，按当期应付未付款项的0.05%向乙方支付违约金，违约金总额最高不超过合同总价的5%； 2.乙方运维服务不合格、响应不及时、未按要求提交资料、擅自更换服务人员的，甲方有权扣减当期服务费、扣除履约保证金（如有）；若造成甲方系统瘫痪、业务中断、数据丢失、网络安全事故的，乙方需全额赔偿甲方全部直接及间接经济损失； 3.乙方存在转包、违法分包、提供服务不符合法定或约定标准、擅自终止服务、泄露保密信息、弄虚作假等严重违约行为的，甲方可单方解除合同，没收全部履约保证金（如有），乙方需支付合同总价20%的违约金，不足以弥补甲方损失的，需继续赔偿甲方剩余损失； 4.任何一方无正当理由擅自变更、解除合同的，需承担全部违约责任。 （二）解决争议的方法 本合同履行过程中发生的一切争议、纠纷，甲乙双方优先友好协商解决；协商不成的，提交甲方所在地人民法院诉讼解决。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本项目采购标的所属行业为：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二、成交供应商在领取成交通知书前，须向采购代理机构提供纸质版响应文件2套，且提供的响应文件必须与在陕西省政府采购综合管理平台的项目电子化交易系统中递交的电子响应文件内容一致，纸质版响应文件必须装订成册签字盖章。三、根据《陕西省财政厅关于持续优化政府采购营商环境有关事项的通知》（陕财办采〔2024〕9 号）文件的通知，采购人在中标（成交）通知书发出之日起 25 日内，按照采购文件确定的事项与中标（成交）供应商签订政府采购合同。四、如采购文件中融资相关内容与新政策要求有出入，按照最新要求执行。五、本项目落实的政府采购政策：（1）《政府采购促进中小企业发展管理办法》（财库〔2020〕46号）；（2）《财政部、司法部关于政府采购支持监狱企业发展有关问题的通知》（财库〔2014〕68号）；（3）《关于促进残疾人就业政府采购政策的通知》（财库〔2017〕141号）；（4）《陕西省中小企业政府采购信用融资办法》（陕财办采〔2018〕23号）；（5）《国务院办公厅关于建立政府强制采购节能产品制度的通知》（国办发〔2007〕51号）；（6）《财政部、国家发展改革委、生态环境部、市场监管总局关于调整优化节能产品、环境标志产品政府采购执行机制的通知》（财库[2019]9号）；（7）《财政部关于印发&lt;进口产品管理办法&gt;的通知》（财库[2007]119号）；（8）《财政部办公厅关于政府采购进口产品管理有关问题的通知》（财办库[2008]248号）；（9）《关于进一步加大政府采购支持中小企业力度的通知》（财库〔2022〕19号）；（10）《国务院办公厅关于在政府采购中实施本国产品标准及相关政策的通知》（国办发〔2025〕34号）；（11）其他需要落实的政府采购政策。六、本项目为持续性服务类采购项目，为保障服务连续性、稳定性，采购人有权根据项目年度履约考核结果、财政预算批复情况、服务实际需要，对本项目合同进行限期续签，续签规定详见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的营业执照等证明文件，自然人提供身份证明；（2）供应商应提供健全的财务会计制度：提供2024年度或2025年度经审计的供应商财务会计报告或者提供磋商截止时间3个月内其基本账户开户银行出具的资信证明；（3）税收缴纳证明：提供供应商自磋商前1年以来已缴纳任意时段完税凭证或税务机关开具的完税证明（任意税种）；依法免税的应提供相关文件证明；（4）社会保障资金缴纳证明：提供供应商自磋商前1年以来已缴存的任意时段的社会保障资金缴存单据或社保机构开具的社会保险参保缴费情况证明；依法不需要缴纳社会保障资金的供应商应提供相关文件证明；（5）提供供应商具备履行合同所必需的设备和专业技术能力的证明材料；（6）供应商参加本次招标前3年内，在经营活动中没有重大违法记录的书面声明；（7）供应商不得被“信用中国”网站（www.creditchina.gov.cn）和中国政府采购网站（www.ccgp.gov.cn）列入失信被执行人、重大税收违法案件当事人名单、政府采购严重违法失信行为记录名单（此项由采购代理机构现场查询）；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供应商特定资格要求</w:t>
            </w:r>
          </w:p>
        </w:tc>
        <w:tc>
          <w:tcPr>
            <w:tcW w:type="dxa" w:w="3322"/>
          </w:tcPr>
          <w:p>
            <w:pPr>
              <w:pStyle w:val="null3"/>
            </w:pPr>
            <w:r>
              <w:rPr>
                <w:rFonts w:ascii="仿宋_GB2312" w:hAnsi="仿宋_GB2312" w:cs="仿宋_GB2312" w:eastAsia="仿宋_GB2312"/>
              </w:rPr>
              <w:t>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法定代表人（单位负责人）身份证明或委托授权书</w:t>
            </w:r>
          </w:p>
        </w:tc>
        <w:tc>
          <w:tcPr>
            <w:tcW w:type="dxa" w:w="3322"/>
          </w:tcPr>
          <w:p>
            <w:pPr>
              <w:pStyle w:val="null3"/>
            </w:pPr>
            <w:r>
              <w:rPr>
                <w:rFonts w:ascii="仿宋_GB2312" w:hAnsi="仿宋_GB2312" w:cs="仿宋_GB2312" w:eastAsia="仿宋_GB2312"/>
              </w:rPr>
              <w:t>法定代表人（单位负责人）参加磋商的，提供法定代表人（单位负责人）身份证明；法定代表人（单位负责人）授权他人参加磋商的，提供法定代表人（单位负责人）委托授权书</w:t>
            </w:r>
          </w:p>
        </w:tc>
        <w:tc>
          <w:tcPr>
            <w:tcW w:type="dxa" w:w="1661"/>
          </w:tcPr>
          <w:p>
            <w:pPr>
              <w:pStyle w:val="null3"/>
            </w:pPr>
            <w:r>
              <w:rPr>
                <w:rFonts w:ascii="仿宋_GB2312" w:hAnsi="仿宋_GB2312" w:cs="仿宋_GB2312" w:eastAsia="仿宋_GB2312"/>
              </w:rPr>
              <w:t>法定代表人（单位负责人）身份证明或委托授权书.docx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服务内容及商务要求应答表.docx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应符合“响应文件格式”和磋商文件要求</w:t>
            </w:r>
          </w:p>
        </w:tc>
        <w:tc>
          <w:tcPr>
            <w:tcW w:type="dxa" w:w="1661"/>
          </w:tcPr>
          <w:p>
            <w:pPr>
              <w:pStyle w:val="null3"/>
            </w:pPr>
            <w:r>
              <w:rPr>
                <w:rFonts w:ascii="仿宋_GB2312" w:hAnsi="仿宋_GB2312" w:cs="仿宋_GB2312" w:eastAsia="仿宋_GB2312"/>
              </w:rPr>
              <w:t>响应文件封面 服务内容及商务要求应答表.docx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只能有一个有效报价，不得提交选择性报价，且报价不超过预算金额或最高限价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符合本项目“采购需求”规定的服务范围</w:t>
            </w:r>
          </w:p>
        </w:tc>
        <w:tc>
          <w:tcPr>
            <w:tcW w:type="dxa" w:w="1661"/>
          </w:tcPr>
          <w:p>
            <w:pPr>
              <w:pStyle w:val="null3"/>
            </w:pPr>
            <w:r>
              <w:rPr>
                <w:rFonts w:ascii="仿宋_GB2312" w:hAnsi="仿宋_GB2312" w:cs="仿宋_GB2312" w:eastAsia="仿宋_GB2312"/>
              </w:rPr>
              <w:t>服务内容及商务要求应答表.docx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响应文件未含有采购人不能接受的附加条件</w:t>
            </w:r>
          </w:p>
        </w:tc>
        <w:tc>
          <w:tcPr>
            <w:tcW w:type="dxa" w:w="1661"/>
          </w:tcPr>
          <w:p>
            <w:pPr>
              <w:pStyle w:val="null3"/>
            </w:pPr>
            <w:r>
              <w:rPr>
                <w:rFonts w:ascii="仿宋_GB2312" w:hAnsi="仿宋_GB2312" w:cs="仿宋_GB2312" w:eastAsia="仿宋_GB2312"/>
              </w:rPr>
              <w:t>服务内容及商务要求应答表.docx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数据中心运维服务</w:t>
            </w:r>
          </w:p>
        </w:tc>
        <w:tc>
          <w:tcPr>
            <w:tcW w:type="dxa" w:w="2492"/>
          </w:tcPr>
          <w:p>
            <w:pPr>
              <w:pStyle w:val="null3"/>
            </w:pPr>
            <w:r>
              <w:rPr>
                <w:rFonts w:ascii="仿宋_GB2312" w:hAnsi="仿宋_GB2312" w:cs="仿宋_GB2312" w:eastAsia="仿宋_GB2312"/>
              </w:rPr>
              <w:t>一、评审内容 针对采购内容提出适用于本项目的数据中心运维服务方案，方案包括：①方案设计；②需求理解与分析；③数据中心运维架构层次；④服务计划。 二、评审标准 1、完整性：方案必须全面，对评审内容中的各项要求有详细描述； 2、可实施性：切合本项目实际情况，提出步骤清晰、合理的方案； 3、针对性：方案能够紧扣项目实际情况，内容科学合理。 三、赋分标准（满分12分） ①方案设计：完全满足一个评审标准得1分；针对每条评审标准，如存在不合理的方面，得0.5分；针对每条评审标准，方案内容与本项目无关或未提供的，得0分。 ②需求理解与分析：完全满足一个评审标准得1分；针对每条评审标准，如存在不合理的方面，得0.5分；针对每条评审标准，方案内容与本项目无关或未提供的，得0分。 ③数据中心运维架构层次：完全满足一个评审标准得1分；针对每条评审标准，如存在不合理的方面，得0.5分；针对每条评审标准，方案内容与本项目无关或未提供的，得0分。 ④服务计划：完全满足一个评审标准得1分；针对每条评审标准，如存在不合理的方面，得0.5分；针对每条评审标准，方案内容与本项目无关或未提供的，得0分。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视讯系统运维服务</w:t>
            </w:r>
          </w:p>
        </w:tc>
        <w:tc>
          <w:tcPr>
            <w:tcW w:type="dxa" w:w="2492"/>
          </w:tcPr>
          <w:p>
            <w:pPr>
              <w:pStyle w:val="null3"/>
            </w:pPr>
            <w:r>
              <w:rPr>
                <w:rFonts w:ascii="仿宋_GB2312" w:hAnsi="仿宋_GB2312" w:cs="仿宋_GB2312" w:eastAsia="仿宋_GB2312"/>
              </w:rPr>
              <w:t>一、评审内容 针对采购内容提出适用于本项目的视讯系统运维服务方案，方案包括：①方案设计；②需求理解与分析；③视讯系统运维服务架构层次；④服务计划。 二、评审标准 1、完整性：方案必须全面，对评审内容中的各项要求有详细描述； 2、可实施性：切合本项目实际情况，提出步骤清晰、合理的方案； 3、针对性：方案能够紧扣项目实际情况，内容科学合理。 三、赋分标准（满分12分） ①方案设计：完全满足一个评审标准得1分；针对每条评审标准，如存在不合理的方面，得0.5分；针对每条评审标准，方案内容与本项目无关或未提供的，得0分。 ②需求理解与分析：完全满足一个评审标准得1分；针对每条评审标准，如存在不合理的方面，得0.5分；针对每条评审标准，方案内容与本项目无关或未提供的，得0分。 ③视讯系统运维服务架构层次：完全满足一个评审标准得1分；针对每条评审标准，如存在不合理的方面，得0.5分；针对每条评审标准，方案内容与本项目无关或未提供的，得0分。 ④服务计划：完全满足一个评审标准得1分；针对每条评审标准，如存在不合理的方面，得0.5分；针对每条评审标准，方案内容与本项目无关或未提供的，得0分。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桌面终端运维服务</w:t>
            </w:r>
          </w:p>
        </w:tc>
        <w:tc>
          <w:tcPr>
            <w:tcW w:type="dxa" w:w="2492"/>
          </w:tcPr>
          <w:p>
            <w:pPr>
              <w:pStyle w:val="null3"/>
            </w:pPr>
            <w:r>
              <w:rPr>
                <w:rFonts w:ascii="仿宋_GB2312" w:hAnsi="仿宋_GB2312" w:cs="仿宋_GB2312" w:eastAsia="仿宋_GB2312"/>
              </w:rPr>
              <w:t>一、评审内容 针对采购内容提出适用于本项目的桌面终端运维服务方案，方案包括：①方案设计；②需求理解与分析；③桌面终端运维服务架构层次；④服务计划。 二、评审标准 1、完整性：方案必须全面，对评审内容中的各项要求有详细描述； 2、可实施性：切合本项目实际情况，提出步骤清晰、合理的方案； 3、针对性：方案能够紧扣项目实际情况，内容科学合理。 三、赋分标准（满分12分） ①方案设计：完全满足一个评审标准得1分；针对每条评审标准，如存在不合理的方面，得0.5分；针对每条评审标准，方案内容与本项目无关或未提供的，得0分。 ②需求理解与分析：完全满足一个评审标准得1分；针对每条评审标准，如存在不合理的方面，得0.5分；针对每条评审标准，方案内容与本项目无关或未提供的，得0分。 ③桌面终端运维服务架构层次：完全满足一个评审标准得1分；针对每条评审标准，如存在不合理的方面，得0.5分；针对每条评审标准，方案内容与本项目无关或未提供的，得0分。 ④服务计划：完全满足一个评审标准得1分；针对每条评审标准，如存在不合理的方面，得0.5分；针对每条评审标准，方案内容与本项目无关或未提供的，得0分。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运维服务管理制度</w:t>
            </w:r>
          </w:p>
        </w:tc>
        <w:tc>
          <w:tcPr>
            <w:tcW w:type="dxa" w:w="2492"/>
          </w:tcPr>
          <w:p>
            <w:pPr>
              <w:pStyle w:val="null3"/>
            </w:pPr>
            <w:r>
              <w:rPr>
                <w:rFonts w:ascii="仿宋_GB2312" w:hAnsi="仿宋_GB2312" w:cs="仿宋_GB2312" w:eastAsia="仿宋_GB2312"/>
              </w:rPr>
              <w:t>一、评审内容 针对采购内容提出适用于本项目的运维服务管理制度，包括：①针对本项目建立规范的运行维护体系及相应的运维策略； ②内控制度：具有管理组织机构、问责机制、监督机制、自查制度等方面。 二、评审标准 1、完整性：方案必须全面，对评审内容中的各项要求有详细描述； 2、可实施性：切合本项目实际情况，提出步骤清晰、合理的方案； 3、针对性：方案能够紧扣项目实际情况，内容科学合理。 三、赋分标准（满分6分） ①针对本项目建立规范的运行维护体系及相应的运维策略：完全满足一个评审标准得1分；针对每条评审标准，如存在不合理的方面，得0.5分；针对每条评审标准，方案内容与本项目无关或未提供的，得0分。 ②内控制度：具有管理组织机构、问责机制、监督机制、自查制度等方面:完全满足一个评审标准得1分；针对每条评审标准，如存在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服务流程和监督体系</w:t>
            </w:r>
          </w:p>
        </w:tc>
        <w:tc>
          <w:tcPr>
            <w:tcW w:type="dxa" w:w="2492"/>
          </w:tcPr>
          <w:p>
            <w:pPr>
              <w:pStyle w:val="null3"/>
            </w:pPr>
            <w:r>
              <w:rPr>
                <w:rFonts w:ascii="仿宋_GB2312" w:hAnsi="仿宋_GB2312" w:cs="仿宋_GB2312" w:eastAsia="仿宋_GB2312"/>
              </w:rPr>
              <w:t>一、评审内容 针对本项目提出适用于本项目的服务流程和监督体系，包括：①日常运维工作开展服务流程体系；②日常运维工作开展过程中人员、质量监督体系；③保密管理体系。 二、评审标准 1、完整性：方案必须全面，对评审内容中的各项要求有详细描述； 2、可实施性：切合本项目实际情况，提出步骤清晰、合理的方案； 3、针对性：方案能够紧扣项目实际情况，内容科学合理。 三、赋分标准（满分9分） ①日常运维工作开展服务流程体系工作开展服务流程体系：完全满足一个评审标准得1分；针对每条评审标准，如存在不合理的方面，得0.5分；针对每条评审标准，方案内容与本项目无关或未提供的，得0分。 ②日常运维工作开展过程中人员、质量监督体系：完全满足一个评审标准得1分；针对每条评审标准，如存在不合理的方面，得0.5分；针对每条评审标准，方案内容与本项目无关或未提供的，得0分。 ③保密管理体系：完全满足一个评审标准得1分；针对每条评审标准，如存在不合理的方面，得0.5分；针对每条评审标准，方案内容与本项目无关或未提供的，得0分。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驻场服务方案</w:t>
            </w:r>
          </w:p>
        </w:tc>
        <w:tc>
          <w:tcPr>
            <w:tcW w:type="dxa" w:w="2492"/>
          </w:tcPr>
          <w:p>
            <w:pPr>
              <w:pStyle w:val="null3"/>
            </w:pPr>
            <w:r>
              <w:rPr>
                <w:rFonts w:ascii="仿宋_GB2312" w:hAnsi="仿宋_GB2312" w:cs="仿宋_GB2312" w:eastAsia="仿宋_GB2312"/>
              </w:rPr>
              <w:t>一、评审内容 根据本项目服务内容制定详细、可行的驻场服务方案，方案包含：①设备巡检方案；②故障处理及时响应方案；③运维服务报告编制方案。 二、评审标准 1、完整性：方案必须全面，对评审内容中的各项要求有详细描述； 2、可实施性：切合本项目实际情况，提出步骤清晰、合理的方案； 3、针对性：方案能够紧扣项目实际情况，内容科学合理。 三、赋分标准（满分9分） ①设备巡检方案：完全满足一个评审标准得1分；针对每条评审标准，如存在不合理的方面，得0.5分；针对每条评审标准，方案内容与本项目无关或未提供的，得0分。 ②故障处理及时响应方案：完全满足一个评审标准得1分；针对每条评审标准，如存在不合理的方面，得0.5分；针对每条评审标准，方案内容与本项目无关或未提供的，得0分。 ③运维服务报告编制方案：完全满足一个评审标准得1分；针对每条评审标准，如存在不合理的方面，得0.5分；针对每条评审标准，方案内容与本项目无关或未提供的，得0分。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根据本项目服务内容结合以往服务经验，制定紧急事件处理方案，方案包含：①根据以往同类项目经验，提供可能会出现的应急情况及应急预案的范围并且针对提供的应急情况有相应的处置措施；②运维队伍进行应急预案的培训方案和相应的演练方案。 二、评审标准 1、完整性：方案必须全面，对评审内容中的各项要求有详细描述； 2、可实施性：切合本项目实际情况，提出步骤清晰、合理的方案； 3、针对性：方案能够紧扣项目实际情况，内容科学合理。 三、赋分标准（满分6分） ①根据以往同类项目经验，提供可能会出现的应急情况及应急预案的范围并且针对提供的应急情况有相应的处置措施：完全满足一个评审标准得1分；针对每条评审标准，如存在不合理的方面，得0.5分；针对每条评审标准，方案内容与本项目无关或未提供的，得0分。 ②运维队伍进行应急预案的培训方案和相应的演练方案:完全满足一个评审标准得1分；针对每条评审标准，如存在不合理的方面，得0.5分；针对每条评审标准，方案内容与本项目无关或未提供的，得0分。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针对本项目服务内容，提出有利于本项目开展的承诺，承诺包括：①对服务时限内团队稳定性等相关内容等作出承诺；②对服务质量一致性相关内容等作出承诺；③在服务期内积极配合采购人工作的相关承诺。 二、评审标准 1、完整性：承诺必须全面，对评审内容中的各项要求有详细描述； 2、可实施性：切合本项目实际情况，提出步骤清晰、合理的承诺； 3、针对性：方案能够紧扣项目实际情况，内容科学合理。 三、赋分标准（满分9分） ①对服务时限内团队稳定性等相关内容等作出承诺：完全满足一个评审标准得1分；针对每条评审标准，如存在不合理的方面，得0.5分；针对每条评审标准，方案内容与本项目无关或未提供的，得0分。 ②对服务质量一致性相关内容等作出承诺:完全满足一个评审标准得1分；针对每条评审标准，如存在不合理的方面，得0.5分；针对每条评审标准，方案内容与本项目无关或未提供的，得0分。 ③在服务期内积极配合采购人工作的相关承诺：完全满足一个评审标准得1分；针对每条评审标准，如存在不合理的方面，得0.5分；针对每条评审标准，方案内容与本项目无关或未提供的，得0分。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运维服务团队</w:t>
            </w:r>
          </w:p>
        </w:tc>
        <w:tc>
          <w:tcPr>
            <w:tcW w:type="dxa" w:w="2492"/>
          </w:tcPr>
          <w:p>
            <w:pPr>
              <w:pStyle w:val="null3"/>
            </w:pPr>
            <w:r>
              <w:rPr>
                <w:rFonts w:ascii="仿宋_GB2312" w:hAnsi="仿宋_GB2312" w:cs="仿宋_GB2312" w:eastAsia="仿宋_GB2312"/>
              </w:rPr>
              <w:t>提供完整的人员拟配清单，清单内容至少应包含： ①项目负责人具有信息系统项目管理工程师或PMP证书等相关证书的，每提供一个证书得2分，满分得4分，其余的不得分。 ②除项目负责人外，项目成员具有本项目相关专业证书的，每增加一个相关专业工程师证书加2分，满分6分。（如同一人同时具备多个证书按一个有效证书计算）。提供相关证明材料：团队人员须提供姓名、年龄、学历、岗位职责、专业资格证书或职称证。</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投标人提供近三年（2023年1月1日至今）类似项目业绩，业绩以合同为依据，投标文件中附有其证明资料，每提供一个业绩证明计1分，满分5分。以合同签订时间为准，须提供合同复印件并加盖供应商公章。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供应商业绩等其他证明材料.docx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以本次满足磋商文件要求的最低评审价为磋商基准价，其磋商报价为满分。其他供应商的磋商报价得分，统一按照下列公式计算：磋商报价得分=(磋商基准价／评审价)×10。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审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详见附件：法定代表人（单位负责人）身份证明或委托授权书.docx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详见附件：服务内容及商务要求应答表.docx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详见附件：供应商业绩等其他证明材料.docx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详见附件：V3-拟签订的采购合同文本.docx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