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版本号：SYCG-CS-26035.1B120260826001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电子政务内网服务(二次)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SYCG-CS-26035.1B1</w:t>
      </w:r>
      <w:r>
        <w:br/>
      </w:r>
      <w:r>
        <w:br/>
      </w:r>
      <w:r>
        <w:br/>
      </w:r>
    </w:p>
    <w:p>
      <w:pPr>
        <w:pStyle w:val="null3"/>
        <w:jc w:val="center"/>
        <w:outlineLvl w:val="2"/>
      </w:pPr>
      <w:r>
        <w:rPr>
          <w:rFonts w:ascii="仿宋_GB2312" w:hAnsi="仿宋_GB2312" w:cs="仿宋_GB2312" w:eastAsia="仿宋_GB2312"/>
          <w:sz w:val="28"/>
          <w:b/>
        </w:rPr>
        <w:t>三原县人民政府办公室</w:t>
      </w:r>
    </w:p>
    <w:p>
      <w:pPr>
        <w:pStyle w:val="null3"/>
        <w:jc w:val="center"/>
        <w:outlineLvl w:val="2"/>
      </w:pPr>
      <w:r>
        <w:rPr>
          <w:rFonts w:ascii="仿宋_GB2312" w:hAnsi="仿宋_GB2312" w:cs="仿宋_GB2312" w:eastAsia="仿宋_GB2312"/>
          <w:sz w:val="28"/>
          <w:b/>
        </w:rPr>
        <w:t>三原县政府采购中心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三原县政府采购中心</w:t>
      </w:r>
      <w:r>
        <w:rPr>
          <w:rFonts w:ascii="仿宋_GB2312" w:hAnsi="仿宋_GB2312" w:cs="仿宋_GB2312" w:eastAsia="仿宋_GB2312"/>
        </w:rPr>
        <w:t>（以下简称“代理机构”）受</w:t>
      </w:r>
      <w:r>
        <w:rPr>
          <w:rFonts w:ascii="仿宋_GB2312" w:hAnsi="仿宋_GB2312" w:cs="仿宋_GB2312" w:eastAsia="仿宋_GB2312"/>
        </w:rPr>
        <w:t>三原县人民政府办公室</w:t>
      </w:r>
      <w:r>
        <w:rPr>
          <w:rFonts w:ascii="仿宋_GB2312" w:hAnsi="仿宋_GB2312" w:cs="仿宋_GB2312" w:eastAsia="仿宋_GB2312"/>
        </w:rPr>
        <w:t>委托，拟对</w:t>
      </w:r>
      <w:r>
        <w:rPr>
          <w:rFonts w:ascii="仿宋_GB2312" w:hAnsi="仿宋_GB2312" w:cs="仿宋_GB2312" w:eastAsia="仿宋_GB2312"/>
        </w:rPr>
        <w:t>电子政务内网服务(二次)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SYCG-CS-26035.1B1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电子政务内网服务(二次)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陕西省电子政务内网包括省市县三级城域网和省到市，市到县两级广域网，是统一的国家电子政务网络的组成部分，根据省政府的统一部署，全省一体化推进电子政务内网建设。</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1、响应主体：独⽴承担⺠事责任的法⼈或其他组织有效的营业执照（或统⼀社会信⽤代码的营业 执照）等相应证明⽂件，⾃然⼈的提供⾝份证明⽂件；</w:t>
      </w:r>
    </w:p>
    <w:p>
      <w:pPr>
        <w:pStyle w:val="null3"/>
      </w:pPr>
      <w:r>
        <w:rPr>
          <w:rFonts w:ascii="仿宋_GB2312" w:hAnsi="仿宋_GB2312" w:cs="仿宋_GB2312" w:eastAsia="仿宋_GB2312"/>
        </w:rPr>
        <w:t>2、法定代表⼈授权委托书：法定代表⼈或负责⼈参加投标时，提供本⼈⾝份证，并与营业执照中法定代表⼈或 负责⼈信息相符；授权代表参加投标时，提供授权书和被授权⼈⾝份证；</w:t>
      </w:r>
    </w:p>
    <w:p>
      <w:pPr>
        <w:pStyle w:val="null3"/>
      </w:pPr>
      <w:r>
        <w:rPr>
          <w:rFonts w:ascii="仿宋_GB2312" w:hAnsi="仿宋_GB2312" w:cs="仿宋_GB2312" w:eastAsia="仿宋_GB2312"/>
        </w:rPr>
        <w:t>3、财务状况报告：供应商提供 2024 或 2025 年经审计的财务报告（成立时间至响应文件截止时间不足一年的，可提供成立后任意时段资产负债表）；或自公告发布之日起至响应文件截止时间前其基本存款账户开户行出具的资信证明，并附基本存款账户信息或基本存款账号编号；其他组织和自然人提供银行出具的资信证明。</w:t>
      </w:r>
    </w:p>
    <w:p>
      <w:pPr>
        <w:pStyle w:val="null3"/>
      </w:pPr>
      <w:r>
        <w:rPr>
          <w:rFonts w:ascii="仿宋_GB2312" w:hAnsi="仿宋_GB2312" w:cs="仿宋_GB2312" w:eastAsia="仿宋_GB2312"/>
        </w:rPr>
        <w:t>4、税收缴纳证明：提供开标截止时间前半年内任意一个月的纳税证明或完税证明（时间以税款所属日期为准、税种须包含增值税或企业所得税）；依法免税的单位应提供相关证明材料。</w:t>
      </w:r>
    </w:p>
    <w:p>
      <w:pPr>
        <w:pStyle w:val="null3"/>
      </w:pPr>
      <w:r>
        <w:rPr>
          <w:rFonts w:ascii="仿宋_GB2312" w:hAnsi="仿宋_GB2312" w:cs="仿宋_GB2312" w:eastAsia="仿宋_GB2312"/>
        </w:rPr>
        <w:t>5、社会保障资⾦缴纳证明：提供开标截⽌时间前半年内任意⼀个⽉的社保机构开具的社会保险参保缴费情况证 明；依法不需要缴纳社会保障资⾦的单位应提供相关证明材料；</w:t>
      </w:r>
    </w:p>
    <w:p>
      <w:pPr>
        <w:pStyle w:val="null3"/>
      </w:pPr>
      <w:r>
        <w:rPr>
          <w:rFonts w:ascii="仿宋_GB2312" w:hAnsi="仿宋_GB2312" w:cs="仿宋_GB2312" w:eastAsia="仿宋_GB2312"/>
        </w:rPr>
        <w:t>6、信⽤中国：供应商不得为“信⽤中国”⽹站（www.creditchina.gov.cn）中被列⼊“重⼤税收 违法失信主体”的供应商,不得为“中国执⾏信息公开⽹”⽹站（zxgk.court.gov.cn/ ）中被列⼊“失信被执⾏⼈”的供应商；不得为中国政府采购⽹（www.ccgp.go v.cn）政府采购“严重违法失信⾏为记录名单”中被财政部⻔禁⽌参加政府采购活动 的供应商；以开标当日网站实时查询结果为准。</w:t>
      </w:r>
    </w:p>
    <w:p>
      <w:pPr>
        <w:pStyle w:val="null3"/>
      </w:pPr>
      <w:r>
        <w:rPr>
          <w:rFonts w:ascii="仿宋_GB2312" w:hAnsi="仿宋_GB2312" w:cs="仿宋_GB2312" w:eastAsia="仿宋_GB2312"/>
        </w:rPr>
        <w:t>7、重⼤违法声明：供应商参加采购活动近3年内经营活动中没有重⼤违法记录声明，以及未被列⼊失 信被执⾏⼈、重⼤税收违法失信主体、政府采购严重违法失信⾏为记录名单的书⾯声明</w:t>
      </w:r>
    </w:p>
    <w:p>
      <w:pPr>
        <w:pStyle w:val="null3"/>
      </w:pPr>
      <w:r>
        <w:rPr>
          <w:rFonts w:ascii="仿宋_GB2312" w:hAnsi="仿宋_GB2312" w:cs="仿宋_GB2312" w:eastAsia="仿宋_GB2312"/>
        </w:rPr>
        <w:t>8、⾮联合体：本项目不接受联合体投标；单位负责人为同一人或者存在直接控股、管理关系的不同供应商，不得参加同一合同项下的采购活动，须提供对应声明。</w:t>
      </w:r>
    </w:p>
    <w:p>
      <w:pPr>
        <w:pStyle w:val="null3"/>
      </w:pPr>
      <w:r>
        <w:rPr>
          <w:rFonts w:ascii="仿宋_GB2312" w:hAnsi="仿宋_GB2312" w:cs="仿宋_GB2312" w:eastAsia="仿宋_GB2312"/>
        </w:rPr>
        <w:t>9、专业技术能力声明：提供具有履行本合同所必需的设备和专业技术能力的声明；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三原县人民政府办公室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三原县政府街4号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029-32282971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三原县政府采购中心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三原县政府街7号三原县财政局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029-32268927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采购包1：896,400.00元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三原县人民政府办公室</w:t>
      </w:r>
      <w:r>
        <w:rPr>
          <w:rFonts w:ascii="仿宋_GB2312" w:hAnsi="仿宋_GB2312" w:cs="仿宋_GB2312" w:eastAsia="仿宋_GB2312"/>
        </w:rPr>
        <w:t>和</w:t>
      </w:r>
      <w:r>
        <w:rPr>
          <w:rFonts w:ascii="仿宋_GB2312" w:hAnsi="仿宋_GB2312" w:cs="仿宋_GB2312" w:eastAsia="仿宋_GB2312"/>
        </w:rPr>
        <w:t>三原县政府采购中心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三原县人民政府办公室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三原县政府采购中心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三原县人民政府办公室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三原县政府采购中心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归甲方所有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按相关标准要求验收工程质量。</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联系电话：029-32268927</w:t>
      </w:r>
    </w:p>
    <w:p>
      <w:pPr>
        <w:pStyle w:val="null3"/>
      </w:pPr>
      <w:r>
        <w:rPr>
          <w:rFonts w:ascii="仿宋_GB2312" w:hAnsi="仿宋_GB2312" w:cs="仿宋_GB2312" w:eastAsia="仿宋_GB2312"/>
        </w:rPr>
        <w:t>地址：三原县政府街7号三原县财政局</w:t>
      </w:r>
    </w:p>
    <w:p>
      <w:pPr>
        <w:pStyle w:val="null3"/>
      </w:pPr>
      <w:r>
        <w:rPr>
          <w:rFonts w:ascii="仿宋_GB2312" w:hAnsi="仿宋_GB2312" w:cs="仿宋_GB2312" w:eastAsia="仿宋_GB2312"/>
        </w:rPr>
        <w:t>邮编：713800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陕西省电子政务内网包括省市县三级城域网和省到市，市到县两级广域网，是统一的国家电子政务网络的组成部分，根据省政府的统一部署，全省一体化推进电子政务内网建设。</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896,400.00</w:t>
      </w:r>
    </w:p>
    <w:p>
      <w:pPr>
        <w:pStyle w:val="null3"/>
      </w:pPr>
      <w:r>
        <w:rPr>
          <w:rFonts w:ascii="仿宋_GB2312" w:hAnsi="仿宋_GB2312" w:cs="仿宋_GB2312" w:eastAsia="仿宋_GB2312"/>
        </w:rPr>
        <w:t>采购包最高限价（元）: 896,400.00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电子政务内网服务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896,400.00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标的名称：电子政务内网服务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1.整体网络架构严格遵循省级统一电子政务内网建设标准，整体架构归属国家电子政务内网体系，完整搭建本级城域网络，同时实现与上级、下级广域网络一体化融合部署，整体拓扑适配全省统一统筹规划要求。</w:t>
            </w:r>
          </w:p>
          <w:p>
            <w:pPr>
              <w:pStyle w:val="null3"/>
            </w:pPr>
            <w:r>
              <w:rPr>
                <w:rFonts w:ascii="仿宋_GB2312" w:hAnsi="仿宋_GB2312" w:cs="仿宋_GB2312" w:eastAsia="仿宋_GB2312"/>
              </w:rPr>
              <w:t>2.广域互联链路可稳定实现上下级网络双向连通，跨层级政务业务访问、文件流转、数据交互全程传输不间断，不存在链路阻断、访问卡顿、数据丢包等影响办公的运行问题，支撑多级政务协同办公常态化运行。</w:t>
            </w:r>
          </w:p>
          <w:p>
            <w:pPr>
              <w:pStyle w:val="null3"/>
            </w:pPr>
            <w:r>
              <w:rPr>
                <w:rFonts w:ascii="仿宋_GB2312" w:hAnsi="仿宋_GB2312" w:cs="仿宋_GB2312" w:eastAsia="仿宋_GB2312"/>
              </w:rPr>
              <w:t>3.全网配套完整的网络安全防护体系，部署分层安全隔离机制，对不同业务区域、跨层级访问行为设置精细化权限管控，配套传输加密、访问审计、边界防护相关安全策略，满足政务内网安全管理规范。</w:t>
            </w:r>
          </w:p>
          <w:p>
            <w:pPr>
              <w:pStyle w:val="null3"/>
            </w:pPr>
            <w:r>
              <w:rPr>
                <w:rFonts w:ascii="仿宋_GB2312" w:hAnsi="仿宋_GB2312" w:cs="仿宋_GB2312" w:eastAsia="仿宋_GB2312"/>
              </w:rPr>
              <w:t>4.全网络配套合规密码应用体系，所有跨层级传输数据、内网业务交互数据均采用规范加密机制处理，密码部署、密钥管理流程符合政务内网密码安全相关管理规定，保障涉密类政务数据传输存储安全。</w:t>
            </w:r>
          </w:p>
          <w:p>
            <w:pPr>
              <w:pStyle w:val="null3"/>
            </w:pPr>
            <w:r>
              <w:rPr>
                <w:rFonts w:ascii="仿宋_GB2312" w:hAnsi="仿宋_GB2312" w:cs="仿宋_GB2312" w:eastAsia="仿宋_GB2312"/>
              </w:rPr>
              <w:t>5.全网搭载统一运维管控能力，可对城域网、上下级广域网所有网络设备、链路运行状态进行实时监测，支持路由策略统一调配、网络故障自动告警与快速溯源，便于日常运维处置各类网络问题。</w:t>
            </w:r>
          </w:p>
          <w:p>
            <w:pPr>
              <w:pStyle w:val="null3"/>
            </w:pPr>
            <w:r>
              <w:rPr>
                <w:rFonts w:ascii="仿宋_GB2312" w:hAnsi="仿宋_GB2312" w:cs="仿宋_GB2312" w:eastAsia="仿宋_GB2312"/>
              </w:rPr>
              <w:t>6.全套网络设备、配套管线、管控系统兼容省级一体化运维管理平台，设备配置、网络配置可无缝向上级管控体系同步接入，后期可配合全省统一升级、改造、运维工作，实现省市县内网统筹管理。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供应商根据项目实际情况配置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供应商根据项目实际情况配置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一招三年，合同一年一签。每年合同期满前，在采购人考核合格的情况下,采购人有权决定是否续签合同，但是累计合同履行期限不超过三年，本次成交价格（含总价和单价）即为第二年和第三年的采购合同价。</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三原县电子政务内网用户</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由甲方组织验收并达到合格标准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其他，当年合同期满，经采购方审验合格后，达到付款条件起30个工作日内，支付合同总金额的100.0%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本合同在履行过程中发生的与本合同有关的任何争议，有甲、乙双方友好协商解决，协商不成的，由仲裁机构裁决。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独⽴承担⺠事责任的法⼈或其他组织有效的营业执照（或统⼀社会信⽤代码的营业 执照）等相应证明⽂件，⾃然⼈的提供⾝份证明⽂件；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法定代表⼈授权委托书</w:t>
            </w:r>
          </w:p>
        </w:tc>
        <w:tc>
          <w:tcPr>
            <w:tcW w:type="dxa" w:w="3322"/>
          </w:tcPr>
          <w:p>
            <w:pPr>
              <w:pStyle w:val="null3"/>
            </w:pPr>
            <w:r>
              <w:rPr>
                <w:rFonts w:ascii="仿宋_GB2312" w:hAnsi="仿宋_GB2312" w:cs="仿宋_GB2312" w:eastAsia="仿宋_GB2312"/>
              </w:rPr>
              <w:t>法定代表⼈或负责⼈参加投标时，提供本⼈⾝份证，并与营业执照中法定代表⼈或 负责⼈信息相符；授权代表参加投标时，提供授权书和被授权⼈⾝份证；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 2024 或 2025 年经审计的财务报告（成立时间至响应文件截止时间不足一年的，可提供成立后任意时段资产负债表）；或自公告发布之日起至响应文件截止时间前其基本存款账户开户行出具的资信证明，并附基本存款账户信息或基本存款账号编号；其他组织和自然人提供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提供开标截止时间前半年内任意一个月的纳税证明或完税证明（时间以税款所属日期为准、税种须包含增值税或企业所得税）；依法免税的单位应提供相关证明材料。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提供开标截⽌时间前半年内任意⼀个⽉的社保机构开具的社会保险参保缴费情况证 明；依法不需要缴纳社会保障资⾦的单位应提供相关证明材料；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信⽤中国</w:t>
            </w:r>
          </w:p>
        </w:tc>
        <w:tc>
          <w:tcPr>
            <w:tcW w:type="dxa" w:w="3322"/>
          </w:tcPr>
          <w:p>
            <w:pPr>
              <w:pStyle w:val="null3"/>
            </w:pPr>
            <w:r>
              <w:rPr>
                <w:rFonts w:ascii="仿宋_GB2312" w:hAnsi="仿宋_GB2312" w:cs="仿宋_GB2312" w:eastAsia="仿宋_GB2312"/>
              </w:rPr>
              <w:t>供应商不得为“信⽤中国”⽹站（www.creditchina.gov.cn）中被列⼊“重⼤税收 违法失信主体”的供应商,不得为“中国执⾏信息公开⽹”⽹站（zxgk.court.gov.cn/ ）中被列⼊“失信被执⾏⼈”的供应商；不得为中国政府采购⽹（www.ccgp.go v.cn）政府采购“严重违法失信⾏为记录名单”中被财政部⻔禁⽌参加政府采购活动 的供应商；以开标当日网站实时查询结果为准。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重⼤违法声明</w:t>
            </w:r>
          </w:p>
        </w:tc>
        <w:tc>
          <w:tcPr>
            <w:tcW w:type="dxa" w:w="3322"/>
          </w:tcPr>
          <w:p>
            <w:pPr>
              <w:pStyle w:val="null3"/>
            </w:pPr>
            <w:r>
              <w:rPr>
                <w:rFonts w:ascii="仿宋_GB2312" w:hAnsi="仿宋_GB2312" w:cs="仿宋_GB2312" w:eastAsia="仿宋_GB2312"/>
              </w:rPr>
              <w:t>供应商参加采购活动近3年内经营活动中没有重⼤违法记录声明，以及未被列⼊失 信被执⾏⼈、重⼤税收违法失信主体、政府采购严重违法失信⾏为记录名单的书⾯声明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本项目不接受联合体投标；单位负责人为同一人或者存在直接控股、管理关系的不同供应商，不得参加同一合同项下的采购活动，须提供对应声明。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响应文件构成无重大缺项（详细评审除外）， 按照文件要求的格式编写响应文件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响应文件的签署、盖章符合文件要求，供应商 递交的响应文件与本项目名称一致</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响应文件响应性</w:t>
            </w:r>
          </w:p>
        </w:tc>
        <w:tc>
          <w:tcPr>
            <w:tcW w:type="dxa" w:w="3322"/>
          </w:tcPr>
          <w:p>
            <w:pPr>
              <w:pStyle w:val="null3"/>
            </w:pPr>
            <w:r>
              <w:rPr>
                <w:rFonts w:ascii="仿宋_GB2312" w:hAnsi="仿宋_GB2312" w:cs="仿宋_GB2312" w:eastAsia="仿宋_GB2312"/>
              </w:rPr>
              <w:t>服务期限响应文件要求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法律、法规和招标文件规定的其他 无效投标情形</w:t>
            </w:r>
          </w:p>
        </w:tc>
        <w:tc>
          <w:tcPr>
            <w:tcW w:type="dxa" w:w="3322"/>
          </w:tcPr>
          <w:p>
            <w:pPr>
              <w:pStyle w:val="null3"/>
            </w:pPr>
            <w:r>
              <w:rPr>
                <w:rFonts w:ascii="仿宋_GB2312" w:hAnsi="仿宋_GB2312" w:cs="仿宋_GB2312" w:eastAsia="仿宋_GB2312"/>
              </w:rPr>
              <w:t>无法律、法规和招标文件规定的其他无效投标 情形</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w:t>
            </w:r>
          </w:p>
        </w:tc>
        <w:tc>
          <w:tcPr>
            <w:tcW w:type="dxa" w:w="2492"/>
          </w:tcPr>
          <w:p>
            <w:pPr>
              <w:pStyle w:val="null3"/>
            </w:pPr>
            <w:r>
              <w:rPr>
                <w:rFonts w:ascii="仿宋_GB2312" w:hAnsi="仿宋_GB2312" w:cs="仿宋_GB2312" w:eastAsia="仿宋_GB2312"/>
              </w:rPr>
              <w:t>针对本项目的理解，内容包括但不限于①对本项目的背景及意义理解②项目需求理解③项目功能定位④项目内容全面认知等。对本项目的理解内容详细完整、针对性强、可行性高，符合项目实际要求。每项满分1分，缺项不得分，每一项项内容存在缺陷，扣0.2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项目重难点分析</w:t>
            </w:r>
          </w:p>
        </w:tc>
        <w:tc>
          <w:tcPr>
            <w:tcW w:type="dxa" w:w="2492"/>
          </w:tcPr>
          <w:p>
            <w:pPr>
              <w:pStyle w:val="null3"/>
            </w:pPr>
            <w:r>
              <w:rPr>
                <w:rFonts w:ascii="仿宋_GB2312" w:hAnsi="仿宋_GB2312" w:cs="仿宋_GB2312" w:eastAsia="仿宋_GB2312"/>
              </w:rPr>
              <w:t>针对本项目的重难点分析，包括但不限于①重点难点识别全面性②应对措施针对性③技术衔接与兼容性问题④建议可行性等。方案内容详细完整、针对性强、可行性高，符合项目实际要求。每项满分1分，缺项不得分,每一项项内容存在缺陷，扣0.2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技术方案科学性</w:t>
            </w:r>
          </w:p>
        </w:tc>
        <w:tc>
          <w:tcPr>
            <w:tcW w:type="dxa" w:w="2492"/>
          </w:tcPr>
          <w:p>
            <w:pPr>
              <w:pStyle w:val="null3"/>
            </w:pPr>
            <w:r>
              <w:rPr>
                <w:rFonts w:ascii="仿宋_GB2312" w:hAnsi="仿宋_GB2312" w:cs="仿宋_GB2312" w:eastAsia="仿宋_GB2312"/>
              </w:rPr>
              <w:t>针对本项目技术方案科学性，内容包括但不限于①遵循法规与标准的严谨性②基础资料的真实性与完整性③分析方法的适用性与科学性④评价内容的全面性与针对性⑤合理性与依据性⑥成果输出的准确性与实用性⑦不确定性分析的客观性⑧技术创新的适用性与成熟度等内容，方案内容详细完整、针对性强、可行性高，符合项目实际要求。每项满分1分，缺项不得分，每一项项内容存在缺陷，扣0.2分。缺陷是指内容不合理、虽有内容但不完善、内容表述前后不一致、套用其他项目方案或与项目需求不匹配及其他不 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的实施方案，包括①规划思路清晰性②需求匹配度③实施可行性④现状调研⑤功能布局规划⑥绿色环保⑦可持续发展等。方案内容详细完整、针对性强、可行性高，符合项目实际要求。每项满分1分，缺项不得分,每一项项内容存在缺陷，扣0.2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方案完整性</w:t>
            </w:r>
          </w:p>
        </w:tc>
        <w:tc>
          <w:tcPr>
            <w:tcW w:type="dxa" w:w="2492"/>
          </w:tcPr>
          <w:p>
            <w:pPr>
              <w:pStyle w:val="null3"/>
            </w:pPr>
            <w:r>
              <w:rPr>
                <w:rFonts w:ascii="仿宋_GB2312" w:hAnsi="仿宋_GB2312" w:cs="仿宋_GB2312" w:eastAsia="仿宋_GB2312"/>
              </w:rPr>
              <w:t>针对本项目的理解，内容包括但不限于①现状分析②回顾性评价③制约因素及解决方案④规划趋势分析等。方案内容详细完整、针对性强、可行性高，符合项目实际要求。 每项满分1分，缺项不得分，每一项项内容存在缺陷，扣0.2分。缺陷是指内 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应提供完善的质量保障措施，包括但不限于①质量管理制度及保障措施②后续服务保障措施及服务承诺③项目管理机构职责分工④档案管理措施⑤验收管理措施。方案内容详细完整、针对性强、可行性高，符合项目实际要求。每项满分1分，缺项不得分，每一项项内容存在缺陷，扣0.2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项目进度</w:t>
            </w:r>
          </w:p>
        </w:tc>
        <w:tc>
          <w:tcPr>
            <w:tcW w:type="dxa" w:w="2492"/>
          </w:tcPr>
          <w:p>
            <w:pPr>
              <w:pStyle w:val="null3"/>
            </w:pPr>
            <w:r>
              <w:rPr>
                <w:rFonts w:ascii="仿宋_GB2312" w:hAnsi="仿宋_GB2312" w:cs="仿宋_GB2312" w:eastAsia="仿宋_GB2312"/>
              </w:rPr>
              <w:t>针对本项目提供的项目进度计划，内容包括但不限于①进度安排合理性②进度保障措施等内容。方案内容详细完整、针对性强、可行性高，符合项目实际要求。每项满分2分，缺项不得分，每一项项内容存在缺陷，扣0.2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针对本项目进度计划、质量管控及服务承诺，内容包括但不限于①成果交付后的答疑与修改服务②项目质保期及质保期内维护服务③技术支持与培训服务④长期技术支持与应急响应机制等内容，方案内容详细完整、针对性强、可行性高，符合项目实际要求。每项满分1分，缺项不得分,每一项项内容存在缺陷，扣0.2分。缺陷是指内容不合理、虽有内容但 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项目组人员：（除项目负责人）配备 1 名计算机 / 通信 / 电子信息相关专业、人社部门核发高级及以上职称人员得 5 分；配备 1 名同专业中级职称人员得 3 分，本项满分 25 分。注：投标时须提供对应人员职称证书复印件并加盖投标人公章，职称证书登记专业须匹配对应专业范围，未按要求提供有效佐证材料的人员不计分；同一人员同时具备高级、中级职称的，仅按最高职称计分，不重复累加分。所有参与计分人员须提供开标前半年内任意一个月社保缴纳证明，无有效社保佐证的人员不予计分；本项计分人员不得在本项目其他人员评分项重复计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公司业绩</w:t>
            </w:r>
          </w:p>
        </w:tc>
        <w:tc>
          <w:tcPr>
            <w:tcW w:type="dxa" w:w="2492"/>
          </w:tcPr>
          <w:p>
            <w:pPr>
              <w:pStyle w:val="null3"/>
            </w:pPr>
            <w:r>
              <w:rPr>
                <w:rFonts w:ascii="仿宋_GB2312" w:hAnsi="仿宋_GB2312" w:cs="仿宋_GB2312" w:eastAsia="仿宋_GB2312"/>
              </w:rPr>
              <w:t>近三年内（2023年1月-至今）有类似项目业绩的，每份计5分，计满25分为止。注：业绩以中标通知书或合同为准，时间以中标通知书发出时间或合同签订时间为准。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关于印发《政府采购竞争性磋商采购方式管理暂行办法》的通知财库〔2014〕214号的有关规定：综合评分法中的价格分统一采用低价优先法计算，即满足磋商文件要求且最后报价最低的供应商的价格为磋商基准价，其价格分为满分。其他供应商的价格分统一按照下列公式计算： 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