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版本号：FCJYZB202600820260528001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三原县殡仪馆基础设施提升工程项目-监理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FCJYZB2026008</w:t>
      </w:r>
      <w:r>
        <w:br/>
      </w:r>
      <w:r>
        <w:br/>
      </w:r>
      <w:r>
        <w:br/>
      </w:r>
    </w:p>
    <w:p>
      <w:pPr>
        <w:pStyle w:val="null3"/>
        <w:jc w:val="center"/>
        <w:outlineLvl w:val="2"/>
      </w:pPr>
      <w:r>
        <w:rPr>
          <w:rFonts w:ascii="仿宋_GB2312" w:hAnsi="仿宋_GB2312" w:cs="仿宋_GB2312" w:eastAsia="仿宋_GB2312"/>
          <w:sz w:val="28"/>
          <w:b/>
        </w:rPr>
        <w:t>三原县殡葬服务中心</w:t>
      </w:r>
    </w:p>
    <w:p>
      <w:pPr>
        <w:pStyle w:val="null3"/>
        <w:jc w:val="center"/>
        <w:outlineLvl w:val="2"/>
      </w:pPr>
      <w:r>
        <w:rPr>
          <w:rFonts w:ascii="仿宋_GB2312" w:hAnsi="仿宋_GB2312" w:cs="仿宋_GB2312" w:eastAsia="仿宋_GB2312"/>
          <w:sz w:val="28"/>
          <w:b/>
        </w:rPr>
        <w:t>陕西蜂巢锦业信息咨询有限公司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陕西蜂巢锦业信息咨询有限公司</w:t>
      </w:r>
      <w:r>
        <w:rPr>
          <w:rFonts w:ascii="仿宋_GB2312" w:hAnsi="仿宋_GB2312" w:cs="仿宋_GB2312" w:eastAsia="仿宋_GB2312"/>
        </w:rPr>
        <w:t>（以下简称“代理机构”）受</w:t>
      </w:r>
      <w:r>
        <w:rPr>
          <w:rFonts w:ascii="仿宋_GB2312" w:hAnsi="仿宋_GB2312" w:cs="仿宋_GB2312" w:eastAsia="仿宋_GB2312"/>
        </w:rPr>
        <w:t>三原县殡葬服务中心</w:t>
      </w:r>
      <w:r>
        <w:rPr>
          <w:rFonts w:ascii="仿宋_GB2312" w:hAnsi="仿宋_GB2312" w:cs="仿宋_GB2312" w:eastAsia="仿宋_GB2312"/>
        </w:rPr>
        <w:t>委托，拟对</w:t>
      </w:r>
      <w:r>
        <w:rPr>
          <w:rFonts w:ascii="仿宋_GB2312" w:hAnsi="仿宋_GB2312" w:cs="仿宋_GB2312" w:eastAsia="仿宋_GB2312"/>
        </w:rPr>
        <w:t>三原县殡仪馆基础设施提升工程项目-监理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FCJYZB2026008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三原县殡仪馆基础设施提升工程项目-监理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总用地面积约16.04亩，拟建建筑面积3106.38㎡，规划总建筑面积3340.7㎡（包含地下建筑面积），设置停车位42辆(包含12辆充电车位，6辆殡葬车辆停车位)。主要建设接待区、业务区、守灵区、消防水池、室外工程提升、基础设施拆除工程，并配套购置相关设备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采购包1（三原县殡仪馆基础设施提升工程项目-监理）：属于专门面向中小企业采购。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1、营业执照：具有独⽴承担⺠事责任能⼒的法⼈、其他组织或⾃然⼈，并出具合法有效的营业执照或事业单位法⼈证书等国家规定的相关证明，⾃然⼈参与的提供其⾝份证明书；</w:t>
      </w:r>
    </w:p>
    <w:p>
      <w:pPr>
        <w:pStyle w:val="null3"/>
      </w:pPr>
      <w:r>
        <w:rPr>
          <w:rFonts w:ascii="仿宋_GB2312" w:hAnsi="仿宋_GB2312" w:cs="仿宋_GB2312" w:eastAsia="仿宋_GB2312"/>
        </w:rPr>
        <w:t>2、授权委托书或法定⾝份证明：法定代表⼈授权书(附法定代表⼈、被授权⼈⾝份证复印件)(法定代表⼈直接参加磋商，须提供法定代表⼈⾝份证明及⾝份证复印件)；</w:t>
      </w:r>
    </w:p>
    <w:p>
      <w:pPr>
        <w:pStyle w:val="null3"/>
      </w:pPr>
      <w:r>
        <w:rPr>
          <w:rFonts w:ascii="仿宋_GB2312" w:hAnsi="仿宋_GB2312" w:cs="仿宋_GB2312" w:eastAsia="仿宋_GB2312"/>
        </w:rPr>
        <w:t>3、公司资质：供应商须具备建设行政主管部门颁发的工程监理综合资质或房屋建筑工程监理乙级及以上资质；</w:t>
      </w:r>
    </w:p>
    <w:p>
      <w:pPr>
        <w:pStyle w:val="null3"/>
      </w:pPr>
      <w:r>
        <w:rPr>
          <w:rFonts w:ascii="仿宋_GB2312" w:hAnsi="仿宋_GB2312" w:cs="仿宋_GB2312" w:eastAsia="仿宋_GB2312"/>
        </w:rPr>
        <w:t>4、总监理工程师：拟派往本项目的总监理工程师必须为本企业注册的监理工程师，具备房屋建筑工程专业注册监理工程师资格，提供2025年5月至今至少1个月的供应商为其缴纳的社会保险的证明材料（五险一金提供一项即可），且未担任其它在建工程的总监理工程师，无不良信用记录；</w:t>
      </w:r>
    </w:p>
    <w:p>
      <w:pPr>
        <w:pStyle w:val="null3"/>
      </w:pPr>
      <w:r>
        <w:rPr>
          <w:rFonts w:ascii="仿宋_GB2312" w:hAnsi="仿宋_GB2312" w:cs="仿宋_GB2312" w:eastAsia="仿宋_GB2312"/>
        </w:rPr>
        <w:t>5、财务状况报告：提供2025年度经审计的财务报告，报告须具有注册会计师⾏业统⼀监管平台赋予的验证码(成⽴时间⾄提交响应⽂件截⽌时间不⾜⼀年的可提供成⽴后任意时段的资产负债表)，或其磋商前六个⽉内基本开⼾银⾏出具的资信证明，或信⽤担保机构出具的投标担保函(以上三种形式的资料提供任何⼀种即可)；</w:t>
      </w:r>
    </w:p>
    <w:p>
      <w:pPr>
        <w:pStyle w:val="null3"/>
      </w:pPr>
      <w:r>
        <w:rPr>
          <w:rFonts w:ascii="仿宋_GB2312" w:hAnsi="仿宋_GB2312" w:cs="仿宋_GB2312" w:eastAsia="仿宋_GB2312"/>
        </w:rPr>
        <w:t>6、税收缴纳证明：提供2025年5⽉1⽇⾄磋商截⽌时间前任意⼀个⽉已缴纳的完税凭证或税务机关开具的完税证明，依法免税的单位应提供相关证明材料；</w:t>
      </w:r>
    </w:p>
    <w:p>
      <w:pPr>
        <w:pStyle w:val="null3"/>
      </w:pPr>
      <w:r>
        <w:rPr>
          <w:rFonts w:ascii="仿宋_GB2312" w:hAnsi="仿宋_GB2312" w:cs="仿宋_GB2312" w:eastAsia="仿宋_GB2312"/>
        </w:rPr>
        <w:t>7、社会保障资⾦缴纳证明：提供2025年5⽉1⽇⾄磋商截⽌时间前任意⼀个⽉的社会保障资⾦缴存单据或社保机构开具的社会保险参保缴费情况证明，依法不需要缴纳社会保障资⾦的供应商应提供相关证明⽂件；</w:t>
      </w:r>
    </w:p>
    <w:p>
      <w:pPr>
        <w:pStyle w:val="null3"/>
      </w:pPr>
      <w:r>
        <w:rPr>
          <w:rFonts w:ascii="仿宋_GB2312" w:hAnsi="仿宋_GB2312" w:cs="仿宋_GB2312" w:eastAsia="仿宋_GB2312"/>
        </w:rPr>
        <w:t>8、信誉情况：供应商不得为"中国执行信息公开网"网站（https://zxgk.court.gov.cn/shixin/）中列入失信被执行人和"信用中国"网站(https:/www.creditchina.gov.cn/)列入重大税收违法失信主体名单的供应商，不得为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9、具有履⾏本合同所必需的设备和专业技术能⼒：提供具有履⾏本合同所必需的设备和专业技术能⼒的声明；</w:t>
      </w:r>
    </w:p>
    <w:p>
      <w:pPr>
        <w:pStyle w:val="null3"/>
      </w:pPr>
      <w:r>
        <w:rPr>
          <w:rFonts w:ascii="仿宋_GB2312" w:hAnsi="仿宋_GB2312" w:cs="仿宋_GB2312" w:eastAsia="仿宋_GB2312"/>
        </w:rPr>
        <w:t>10、近三年内⽆重⼤违法记录的声明：参加政府采购活动前3年内，在经营活动中没有重⼤违法记录的书⾯声明；</w:t>
      </w:r>
    </w:p>
    <w:p>
      <w:pPr>
        <w:pStyle w:val="null3"/>
      </w:pPr>
      <w:r>
        <w:rPr>
          <w:rFonts w:ascii="仿宋_GB2312" w:hAnsi="仿宋_GB2312" w:cs="仿宋_GB2312" w:eastAsia="仿宋_GB2312"/>
        </w:rPr>
        <w:t>11、中⼩企业声明函：本项⽬专⻔⾯向中小企业采购(提供中⼩企业声明函)；</w:t>
      </w:r>
    </w:p>
    <w:p>
      <w:pPr>
        <w:pStyle w:val="null3"/>
      </w:pPr>
      <w:r>
        <w:rPr>
          <w:rFonts w:ascii="仿宋_GB2312" w:hAnsi="仿宋_GB2312" w:cs="仿宋_GB2312" w:eastAsia="仿宋_GB2312"/>
        </w:rPr>
        <w:t>12、是否接受联合体：本项⽬不接受联合体。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三原县殡葬服务中心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三原县鲁桥镇东沟村东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三原县殡葬服务中心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18082273833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陕西蜂巢锦业信息咨询有限公司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咸阳市世纪大道铁投V领郡4号写字楼17层A区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15399247420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采购包1：704,400.00元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代理服务费收费标准：参考《国家计委关于印发&lt;招标代理服务收费管理暂行办法&gt;的通知》(计价格(2002)1980号)；领取中标通知书前，由中标供应商向代理机构缴纳代理服务费，一次性付清。 招标代理服务费账户： 户名：陕西蜂巢锦业信息咨询有限公司 账号: 61050163530800001088 开户行： 中国建设银行股份有限公司咸阳分行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三原县殡葬服务中心</w:t>
      </w:r>
      <w:r>
        <w:rPr>
          <w:rFonts w:ascii="仿宋_GB2312" w:hAnsi="仿宋_GB2312" w:cs="仿宋_GB2312" w:eastAsia="仿宋_GB2312"/>
        </w:rPr>
        <w:t>和</w:t>
      </w:r>
      <w:r>
        <w:rPr>
          <w:rFonts w:ascii="仿宋_GB2312" w:hAnsi="仿宋_GB2312" w:cs="仿宋_GB2312" w:eastAsia="仿宋_GB2312"/>
        </w:rPr>
        <w:t>陕西蜂巢锦业信息咨询有限公司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三原县殡葬服务中心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陕西蜂巢锦业信息咨询有限公司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三原县殡葬服务中心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陕西蜂巢锦业信息咨询有限公司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满足国家现行验收规范“合格”标准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陕西蜂巢锦业信息咨询有限公司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陕西蜂巢锦业信息咨询有限公司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陕西蜂巢锦业信息咨询有限公司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联系人：李娜</w:t>
      </w:r>
    </w:p>
    <w:p>
      <w:pPr>
        <w:pStyle w:val="null3"/>
      </w:pPr>
      <w:r>
        <w:rPr>
          <w:rFonts w:ascii="仿宋_GB2312" w:hAnsi="仿宋_GB2312" w:cs="仿宋_GB2312" w:eastAsia="仿宋_GB2312"/>
        </w:rPr>
        <w:t>联系电话：15399247420</w:t>
      </w:r>
    </w:p>
    <w:p>
      <w:pPr>
        <w:pStyle w:val="null3"/>
      </w:pPr>
      <w:r>
        <w:rPr>
          <w:rFonts w:ascii="仿宋_GB2312" w:hAnsi="仿宋_GB2312" w:cs="仿宋_GB2312" w:eastAsia="仿宋_GB2312"/>
        </w:rPr>
        <w:t>地址：咸阳市世纪大道铁投V领郡4号写字楼17层A区</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总用地面积约16.04亩，拟建建筑面积3106.38㎡，规划总建筑面积3340.7㎡（包含地下建筑面积），设置停车位42辆(包含12辆充电车位，6辆殡葬车辆停车位)。主要建设接待区、业务区、守灵区、消防水池、室外工程提升、基础设施拆除工程，并配套购置相关设备设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704,400.00</w:t>
      </w:r>
    </w:p>
    <w:p>
      <w:pPr>
        <w:pStyle w:val="null3"/>
      </w:pPr>
      <w:r>
        <w:rPr>
          <w:rFonts w:ascii="仿宋_GB2312" w:hAnsi="仿宋_GB2312" w:cs="仿宋_GB2312" w:eastAsia="仿宋_GB2312"/>
        </w:rPr>
        <w:t>采购包最高限价（元）: 704,400.00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三原县殡仪馆基础设施提升工程项目-监理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704,400.00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标的名称：三原县殡仪馆基础设施提升工程项目-监理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一、总体技术要求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监理单位须严格遵循国家、陕西省及咸阳市现行工程建设法律、法规、规范、标准及设计文件，全面履行监理职责。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监理服务覆盖施工准备、施工过程、竣工验收、缺陷责任期全阶段，对工程质量、进度、投资、安全、环保、合同、信息进行全过程管控。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监理机构与人员须满足项目专业需求，持证上岗、到岗履职，不得擅自更换。</w:t>
            </w:r>
          </w:p>
          <w:p>
            <w:pPr>
              <w:pStyle w:val="null3"/>
              <w:jc w:val="both"/>
            </w:pPr>
            <w:r>
              <w:rPr>
                <w:rFonts w:ascii="仿宋_GB2312" w:hAnsi="仿宋_GB2312" w:cs="仿宋_GB2312" w:eastAsia="仿宋_GB2312"/>
                <w:sz w:val="21"/>
                <w:b/>
              </w:rPr>
              <w:t>二、施工质量监理技术要求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施工方案审查：审核施工组织设计、专项方案，提出书面意见。</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材料设备管控：核查进场材料、构配件、设备合格证与检测报告，见证取样送检，不合格严禁使用。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工序质量控制：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地基与基础：基底土质、标高、尺寸、回填分层厚度及压实度、隐蔽验收。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钢筋工程：规格、数量、间距、保护层厚度、搭接</w:t>
            </w:r>
            <w:r>
              <w:rPr>
                <w:rFonts w:ascii="仿宋_GB2312" w:hAnsi="仿宋_GB2312" w:cs="仿宋_GB2312" w:eastAsia="仿宋_GB2312"/>
                <w:sz w:val="21"/>
              </w:rPr>
              <w:t>/</w:t>
            </w:r>
            <w:r>
              <w:rPr>
                <w:rFonts w:ascii="仿宋_GB2312" w:hAnsi="仿宋_GB2312" w:cs="仿宋_GB2312" w:eastAsia="仿宋_GB2312"/>
                <w:sz w:val="21"/>
              </w:rPr>
              <w:t>锚固长度、预埋件位置。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混凝土工程：配合比、坍落度、浇筑顺序、振捣、养护、试块留置、外观质量。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砌体工程：砂浆强度、灰缝厚度、组砌方式、拉结筋、预留洞口位置。</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防水工程：基层处理、卷材</w:t>
            </w:r>
            <w:r>
              <w:rPr>
                <w:rFonts w:ascii="仿宋_GB2312" w:hAnsi="仿宋_GB2312" w:cs="仿宋_GB2312" w:eastAsia="仿宋_GB2312"/>
                <w:sz w:val="21"/>
              </w:rPr>
              <w:t>/</w:t>
            </w:r>
            <w:r>
              <w:rPr>
                <w:rFonts w:ascii="仿宋_GB2312" w:hAnsi="仿宋_GB2312" w:cs="仿宋_GB2312" w:eastAsia="仿宋_GB2312"/>
                <w:sz w:val="21"/>
              </w:rPr>
              <w:t>涂料厚度、搭接宽度、阴阳角加强层、闭水试验。</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装饰装修：墙面地面平整度、管线走向、连接密闭、功能试验。</w:t>
            </w:r>
          </w:p>
          <w:p>
            <w:pPr>
              <w:pStyle w:val="null3"/>
              <w:jc w:val="both"/>
            </w:pPr>
            <w:r>
              <w:rPr>
                <w:rFonts w:ascii="仿宋_GB2312" w:hAnsi="仿宋_GB2312" w:cs="仿宋_GB2312" w:eastAsia="仿宋_GB2312"/>
                <w:sz w:val="21"/>
                <w:b/>
              </w:rPr>
              <w:t>三、进度监理技术要求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审核总进度计划、月计划、周计划，对比实际进度，预警偏差并提出纠偏措施。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关键</w:t>
            </w:r>
            <w:r>
              <w:rPr>
                <w:rFonts w:ascii="仿宋_GB2312" w:hAnsi="仿宋_GB2312" w:cs="仿宋_GB2312" w:eastAsia="仿宋_GB2312"/>
                <w:sz w:val="21"/>
              </w:rPr>
              <w:t>施工</w:t>
            </w:r>
            <w:r>
              <w:rPr>
                <w:rFonts w:ascii="仿宋_GB2312" w:hAnsi="仿宋_GB2312" w:cs="仿宋_GB2312" w:eastAsia="仿宋_GB2312"/>
                <w:sz w:val="21"/>
              </w:rPr>
              <w:t>节点严格管控。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协调施工、设计、勘察、建设单位，解决影响进度问题。</w:t>
            </w:r>
          </w:p>
          <w:p>
            <w:pPr>
              <w:pStyle w:val="null3"/>
              <w:jc w:val="both"/>
            </w:pPr>
            <w:r>
              <w:rPr>
                <w:rFonts w:ascii="仿宋_GB2312" w:hAnsi="仿宋_GB2312" w:cs="仿宋_GB2312" w:eastAsia="仿宋_GB2312"/>
                <w:sz w:val="21"/>
                <w:b/>
              </w:rPr>
              <w:t>四、投资控制技术要求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复核工程量清单与预算，审核工程变更、现场签证，控制造价风险。</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审核进度款支付申请，据实计量，防止超付。</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参与竣工结算审核，提供监理计量资料。</w:t>
            </w:r>
          </w:p>
          <w:p>
            <w:pPr>
              <w:pStyle w:val="null3"/>
              <w:jc w:val="both"/>
            </w:pPr>
            <w:r>
              <w:rPr>
                <w:rFonts w:ascii="仿宋_GB2312" w:hAnsi="仿宋_GB2312" w:cs="仿宋_GB2312" w:eastAsia="仿宋_GB2312"/>
                <w:sz w:val="21"/>
                <w:b/>
              </w:rPr>
              <w:t>五、安全生产与文明施工监理要求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审查安全专项方案、应急预案、特种作业人员证件。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巡查临时用水、临时用电、机械作业安全，制止违规作业。</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督促落实扬尘治理、围挡、保洁、材料堆放等文明施工要求。</w:t>
            </w:r>
          </w:p>
          <w:p>
            <w:pPr>
              <w:pStyle w:val="null3"/>
              <w:jc w:val="both"/>
            </w:pPr>
            <w:r>
              <w:rPr>
                <w:rFonts w:ascii="仿宋_GB2312" w:hAnsi="仿宋_GB2312" w:cs="仿宋_GB2312" w:eastAsia="仿宋_GB2312"/>
                <w:sz w:val="21"/>
                <w:b/>
              </w:rPr>
              <w:t>六、合同与信息管理要求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监督合同履行，处理工期、质量、价款等争议。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建立监理日志、旁站记录、验收记录、会议纪要、月报等完整资料。</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及时向建设单位报送监理周报、月报、专题报告。</w:t>
            </w:r>
          </w:p>
          <w:p>
            <w:pPr>
              <w:pStyle w:val="null3"/>
              <w:jc w:val="both"/>
            </w:pPr>
            <w:r>
              <w:rPr>
                <w:rFonts w:ascii="仿宋_GB2312" w:hAnsi="仿宋_GB2312" w:cs="仿宋_GB2312" w:eastAsia="仿宋_GB2312"/>
                <w:sz w:val="21"/>
                <w:b/>
              </w:rPr>
              <w:t>七、验收与缺陷责任期监理要求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组织竣工预验收，出具工程质量评估报告。</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配合竣工验收，督促整改问题。</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缺陷责任期内监督维修，核查质量与效果，签署验收意见。</w:t>
            </w:r>
          </w:p>
          <w:p>
            <w:pPr>
              <w:pStyle w:val="null3"/>
              <w:jc w:val="both"/>
            </w:pPr>
            <w:r>
              <w:rPr>
                <w:rFonts w:ascii="仿宋_GB2312" w:hAnsi="仿宋_GB2312" w:cs="仿宋_GB2312" w:eastAsia="仿宋_GB2312"/>
                <w:sz w:val="21"/>
                <w:b/>
              </w:rPr>
              <w:t>八、执行标准（现行有效版本）</w:t>
            </w:r>
          </w:p>
          <w:p>
            <w:pPr>
              <w:pStyle w:val="null3"/>
              <w:jc w:val="both"/>
            </w:pPr>
            <w:r>
              <w:rPr>
                <w:rFonts w:ascii="仿宋_GB2312" w:hAnsi="仿宋_GB2312" w:cs="仿宋_GB2312" w:eastAsia="仿宋_GB2312"/>
                <w:sz w:val="21"/>
              </w:rPr>
              <w:t>《建设工程监理规范》（</w:t>
            </w:r>
            <w:r>
              <w:rPr>
                <w:rFonts w:ascii="仿宋_GB2312" w:hAnsi="仿宋_GB2312" w:cs="仿宋_GB2312" w:eastAsia="仿宋_GB2312"/>
                <w:sz w:val="21"/>
              </w:rPr>
              <w:t>GB/T 50319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《建筑与市政工程施工质量控制通用规范》（</w:t>
            </w:r>
            <w:r>
              <w:rPr>
                <w:rFonts w:ascii="仿宋_GB2312" w:hAnsi="仿宋_GB2312" w:cs="仿宋_GB2312" w:eastAsia="仿宋_GB2312"/>
                <w:sz w:val="21"/>
              </w:rPr>
              <w:t>GB 55032-2022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建筑施工安全检查标准</w:t>
            </w:r>
            <w:r>
              <w:rPr>
                <w:rFonts w:ascii="仿宋_GB2312" w:hAnsi="仿宋_GB2312" w:cs="仿宋_GB2312" w:eastAsia="仿宋_GB2312"/>
                <w:sz w:val="21"/>
              </w:rPr>
              <w:t>》（</w:t>
            </w:r>
            <w:r>
              <w:rPr>
                <w:rFonts w:ascii="仿宋_GB2312" w:hAnsi="仿宋_GB2312" w:cs="仿宋_GB2312" w:eastAsia="仿宋_GB2312"/>
                <w:sz w:val="21"/>
              </w:rPr>
              <w:t>J</w:t>
            </w:r>
            <w:r>
              <w:rPr>
                <w:rFonts w:ascii="仿宋_GB2312" w:hAnsi="仿宋_GB2312" w:cs="仿宋_GB2312" w:eastAsia="仿宋_GB2312"/>
                <w:sz w:val="21"/>
              </w:rPr>
              <w:t>G</w:t>
            </w:r>
            <w:r>
              <w:rPr>
                <w:rFonts w:ascii="仿宋_GB2312" w:hAnsi="仿宋_GB2312" w:cs="仿宋_GB2312" w:eastAsia="仿宋_GB2312"/>
                <w:sz w:val="21"/>
              </w:rPr>
              <w:t>J</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《园林绿化工程施工及验收规范》（</w:t>
            </w:r>
            <w:r>
              <w:rPr>
                <w:rFonts w:ascii="仿宋_GB2312" w:hAnsi="仿宋_GB2312" w:cs="仿宋_GB2312" w:eastAsia="仿宋_GB2312"/>
                <w:sz w:val="21"/>
              </w:rPr>
              <w:t>CJJ 82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《建设工程安全生产管理条例》</w:t>
            </w:r>
          </w:p>
          <w:p>
            <w:pPr>
              <w:pStyle w:val="null3"/>
              <w:jc w:val="both"/>
            </w:pPr>
            <w:r>
              <w:rPr>
                <w:rFonts w:ascii="仿宋_GB2312" w:hAnsi="仿宋_GB2312" w:cs="仿宋_GB2312" w:eastAsia="仿宋_GB2312"/>
                <w:sz w:val="21"/>
              </w:rPr>
              <w:t>陕西省、咸阳市、三原县相关地方标准与管理规定</w:t>
            </w:r>
          </w:p>
          <w:p>
            <w:pPr>
              <w:pStyle w:val="null3"/>
              <w:jc w:val="both"/>
            </w:pPr>
            <w:r>
              <w:rPr>
                <w:rFonts w:ascii="仿宋_GB2312" w:hAnsi="仿宋_GB2312" w:cs="仿宋_GB2312" w:eastAsia="仿宋_GB2312"/>
                <w:sz w:val="21"/>
                <w:b/>
              </w:rPr>
              <w:t>九、服务与交付要求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监理服务期限：</w:t>
            </w:r>
            <w:r>
              <w:rPr>
                <w:rFonts w:ascii="仿宋_GB2312" w:hAnsi="仿宋_GB2312" w:cs="仿宋_GB2312" w:eastAsia="仿宋_GB2312"/>
                <w:sz w:val="21"/>
              </w:rPr>
              <w:t>365</w:t>
            </w:r>
            <w:r>
              <w:rPr>
                <w:rFonts w:ascii="仿宋_GB2312" w:hAnsi="仿宋_GB2312" w:cs="仿宋_GB2312" w:eastAsia="仿宋_GB2312"/>
                <w:sz w:val="21"/>
              </w:rPr>
              <w:t>日历</w:t>
            </w:r>
            <w:r>
              <w:rPr>
                <w:rFonts w:ascii="仿宋_GB2312" w:hAnsi="仿宋_GB2312" w:cs="仿宋_GB2312" w:eastAsia="仿宋_GB2312"/>
                <w:sz w:val="21"/>
              </w:rPr>
              <w:t>天</w:t>
            </w:r>
            <w:r>
              <w:rPr>
                <w:rFonts w:ascii="仿宋_GB2312" w:hAnsi="仿宋_GB2312" w:cs="仿宋_GB2312" w:eastAsia="仿宋_GB2312"/>
                <w:sz w:val="21"/>
              </w:rPr>
              <w:t>，</w:t>
            </w:r>
            <w:r>
              <w:rPr>
                <w:rFonts w:ascii="仿宋_GB2312" w:hAnsi="仿宋_GB2312" w:cs="仿宋_GB2312" w:eastAsia="仿宋_GB2312"/>
                <w:sz w:val="21"/>
              </w:rPr>
              <w:t>实际监理工期与实际工程工期同步</w:t>
            </w:r>
            <w:r>
              <w:rPr>
                <w:rFonts w:ascii="仿宋_GB2312" w:hAnsi="仿宋_GB2312" w:cs="仿宋_GB2312" w:eastAsia="仿宋_GB2312"/>
                <w:sz w:val="21"/>
              </w:rPr>
              <w:t>,</w:t>
            </w:r>
            <w:r>
              <w:rPr>
                <w:rFonts w:ascii="仿宋_GB2312" w:hAnsi="仿宋_GB2312" w:cs="仿宋_GB2312" w:eastAsia="仿宋_GB2312"/>
                <w:sz w:val="21"/>
              </w:rPr>
              <w:t>具体监理进场时间以采购人通知时间为准，完成委托监理以工程缺陷责任期满为止。</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按期提交监理规划、监理细则、日志、旁站记录、验收资料、质量评估报告、监理总结。</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响应</w:t>
            </w:r>
            <w:r>
              <w:rPr>
                <w:rFonts w:ascii="仿宋_GB2312" w:hAnsi="仿宋_GB2312" w:cs="仿宋_GB2312" w:eastAsia="仿宋_GB2312"/>
                <w:sz w:val="21"/>
              </w:rPr>
              <w:t>采购</w:t>
            </w:r>
            <w:r>
              <w:rPr>
                <w:rFonts w:ascii="仿宋_GB2312" w:hAnsi="仿宋_GB2312" w:cs="仿宋_GB2312" w:eastAsia="仿宋_GB2312"/>
                <w:sz w:val="21"/>
              </w:rPr>
              <w:t>单位指令，关键工序</w:t>
            </w:r>
            <w:r>
              <w:rPr>
                <w:rFonts w:ascii="仿宋_GB2312" w:hAnsi="仿宋_GB2312" w:cs="仿宋_GB2312" w:eastAsia="仿宋_GB2312"/>
                <w:sz w:val="21"/>
              </w:rPr>
              <w:t>24</w:t>
            </w:r>
            <w:r>
              <w:rPr>
                <w:rFonts w:ascii="仿宋_GB2312" w:hAnsi="仿宋_GB2312" w:cs="仿宋_GB2312" w:eastAsia="仿宋_GB2312"/>
                <w:sz w:val="21"/>
              </w:rPr>
              <w:t>小时内到场监理。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供应商根据项目情况及磋商文件要求实际配备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供应商根据项目情况及磋商文件要求实际配备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365日历天，实际监理工期与实际工程工期同步，具体监理进场时间以采购人通知时间为准，完成委托监理以工程缺陷责任期满为止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三原县殡仪馆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监理单位相关资料递交。(例监理规划、旁站记录、监理日志等相关资料)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进度款，施工工程量达到60%，监理服务费付50%，达到付款条件起15个工作日内，支付合同总金额的50.0%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进度款，施工竣工验收后，付至总合同的97%，达到付款条件起15个工作日内，支付合同总金额的47.0%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进度款，竣工验收后满12个月支付3%，达到付款条件起15个工作日内，支付合同总金额的3.0%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按《中华人民共和国民法典》、《中华人民共和国政府采购法》的相关条款和本合同约定执行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具有独⽴承担⺠事责任能⼒的法⼈、其他组织或⾃然⼈，并出具合法有效的营业执照或事业单位法⼈证书等国家规定的相关证明，⾃然⼈参与的提供其⾝份证明书；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授权委托书或法定⾝份证明</w:t>
            </w:r>
          </w:p>
        </w:tc>
        <w:tc>
          <w:tcPr>
            <w:tcW w:type="dxa" w:w="3322"/>
          </w:tcPr>
          <w:p>
            <w:pPr>
              <w:pStyle w:val="null3"/>
            </w:pPr>
            <w:r>
              <w:rPr>
                <w:rFonts w:ascii="仿宋_GB2312" w:hAnsi="仿宋_GB2312" w:cs="仿宋_GB2312" w:eastAsia="仿宋_GB2312"/>
              </w:rPr>
              <w:t>法定代表⼈授权书(附法定代表⼈、被授权⼈⾝份证复印件)(法定代表⼈直接参加磋商，须提供法定代表⼈⾝份证明及⾝份证复印件)；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公司资质</w:t>
            </w:r>
          </w:p>
        </w:tc>
        <w:tc>
          <w:tcPr>
            <w:tcW w:type="dxa" w:w="3322"/>
          </w:tcPr>
          <w:p>
            <w:pPr>
              <w:pStyle w:val="null3"/>
            </w:pPr>
            <w:r>
              <w:rPr>
                <w:rFonts w:ascii="仿宋_GB2312" w:hAnsi="仿宋_GB2312" w:cs="仿宋_GB2312" w:eastAsia="仿宋_GB2312"/>
              </w:rPr>
              <w:t>供应商须具备建设行政主管部门颁发的工程监理综合资质或房屋建筑工程监理乙级及以上资质；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总监理工程师</w:t>
            </w:r>
          </w:p>
        </w:tc>
        <w:tc>
          <w:tcPr>
            <w:tcW w:type="dxa" w:w="3322"/>
          </w:tcPr>
          <w:p>
            <w:pPr>
              <w:pStyle w:val="null3"/>
            </w:pPr>
            <w:r>
              <w:rPr>
                <w:rFonts w:ascii="仿宋_GB2312" w:hAnsi="仿宋_GB2312" w:cs="仿宋_GB2312" w:eastAsia="仿宋_GB2312"/>
              </w:rPr>
              <w:t>拟派往本项目的总监理工程师必须为本企业注册的监理工程师，具备房屋建筑工程专业注册监理工程师资格，提供2025年5月至今至少1个月的供应商为其缴纳的社会保险的证明材料（五险一金提供一项即可），且未担任其它在建工程的总监理工程师，无不良信用记录；</w:t>
            </w:r>
          </w:p>
        </w:tc>
        <w:tc>
          <w:tcPr>
            <w:tcW w:type="dxa" w:w="1661"/>
          </w:tcPr>
          <w:p>
            <w:pPr>
              <w:pStyle w:val="null3"/>
            </w:pPr>
            <w:r>
              <w:rPr>
                <w:rFonts w:ascii="仿宋_GB2312" w:hAnsi="仿宋_GB2312" w:cs="仿宋_GB2312" w:eastAsia="仿宋_GB2312"/>
              </w:rPr>
              <w:t>供应商应提交的相关资格证明材料 拟派总监理工程师情况表.docx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业统⼀监管平台赋予的验证码(成⽴时间⾄提交响应⽂件截⽌时间不⾜⼀年的可提供成⽴后任意时段的资产负债表)，或其磋商前六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提供2025年5⽉1⽇⾄磋商截⽌时间前任意⼀个⽉已缴纳的完税凭证或税务机关开具的完税证明，依法免税的单位应提供相关证明材料；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提供2025年5⽉1⽇⾄磋商截⽌时间前任意⼀个⽉的社会保障资⾦缴存单据或社保机构开具的社会保险参保缴费情况证明，依法不需要缴纳社会保障资⾦的供应商应提供相关证明⽂件；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供应商不得为"中国执行信息公开网"网站（https://zxgk.court.gov.cn/shixin/）中列入失信被执行人和"信用中国"网站(https:/www.creditchina.gov.cn/)列入重大税收违法失信主体名单的供应商，不得为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具有履⾏本合同所必需的设备和专业技术能⼒</w:t>
            </w:r>
          </w:p>
        </w:tc>
        <w:tc>
          <w:tcPr>
            <w:tcW w:type="dxa" w:w="3322"/>
          </w:tcPr>
          <w:p>
            <w:pPr>
              <w:pStyle w:val="null3"/>
            </w:pPr>
            <w:r>
              <w:rPr>
                <w:rFonts w:ascii="仿宋_GB2312" w:hAnsi="仿宋_GB2312" w:cs="仿宋_GB2312" w:eastAsia="仿宋_GB2312"/>
              </w:rPr>
              <w:t>提供具有履⾏本合同所必需的设备和专业技术能⼒的声明；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近三年内⽆重⼤违法记录的声明</w:t>
            </w:r>
          </w:p>
        </w:tc>
        <w:tc>
          <w:tcPr>
            <w:tcW w:type="dxa" w:w="3322"/>
          </w:tcPr>
          <w:p>
            <w:pPr>
              <w:pStyle w:val="null3"/>
            </w:pPr>
            <w:r>
              <w:rPr>
                <w:rFonts w:ascii="仿宋_GB2312" w:hAnsi="仿宋_GB2312" w:cs="仿宋_GB2312" w:eastAsia="仿宋_GB2312"/>
              </w:rPr>
              <w:t>参加政府采购活动前3年内，在经营活动中没有重⼤违法记录的书⾯声明；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本项⽬专⻔⾯向中小企业采购(提供中⼩企业声明函)；</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本项⽬不接受联合体。</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竞争性磋商响应文件签署、盖章</w:t>
            </w:r>
          </w:p>
        </w:tc>
        <w:tc>
          <w:tcPr>
            <w:tcW w:type="dxa" w:w="3322"/>
          </w:tcPr>
          <w:p>
            <w:pPr>
              <w:pStyle w:val="null3"/>
            </w:pPr>
            <w:r>
              <w:rPr>
                <w:rFonts w:ascii="仿宋_GB2312" w:hAnsi="仿宋_GB2312" w:cs="仿宋_GB2312" w:eastAsia="仿宋_GB2312"/>
              </w:rPr>
              <w:t xml:space="preserve"> 符合竞争性磋商文件要求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拟派总监理工程师情况表.docx 近年完成的类似项目情况表.docx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监理服务期限</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w:t>
            </w:r>
          </w:p>
        </w:tc>
        <w:tc>
          <w:tcPr>
            <w:tcW w:type="dxa" w:w="3322"/>
          </w:tcPr>
          <w:p>
            <w:pPr>
              <w:pStyle w:val="null3"/>
            </w:pPr>
            <w:r>
              <w:rPr>
                <w:rFonts w:ascii="仿宋_GB2312" w:hAnsi="仿宋_GB2312" w:cs="仿宋_GB2312" w:eastAsia="仿宋_GB2312"/>
              </w:rPr>
              <w:t>对磋商文件技术要求作出明确响应，对不得偏离的要求是否作了实质性响应</w:t>
            </w:r>
          </w:p>
        </w:tc>
        <w:tc>
          <w:tcPr>
            <w:tcW w:type="dxa" w:w="1661"/>
          </w:tcPr>
          <w:p>
            <w:pPr>
              <w:pStyle w:val="null3"/>
            </w:pPr>
            <w:r>
              <w:rPr>
                <w:rFonts w:ascii="仿宋_GB2312" w:hAnsi="仿宋_GB2312" w:cs="仿宋_GB2312" w:eastAsia="仿宋_GB2312"/>
              </w:rPr>
              <w:t>中小企业声明函 商务应答表 服务内容及服务要求应答表 供应商应提交的相关资格证明材料 报价表 拟派总监理工程师情况表.docx 近年完成的类似项目情况表.docx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针对本项目提供质量控制方案，内容包括但不限于①监理质量控制目标②质量控制体系③过程质量控制④质量验收流程⑤质量保障措施等内容，方案内容详细完整、针对性强、可行性高，符合项目实际要求。总分10分,每项满分2分,缺项不得分, 每项内容存在1处缺陷，扣0.5分。缺陷是指内容不合理、虽有内容但不完善、内容表述前后不一致、套用其他项目方案或与项目需求不匹配及其他不利于项目实施的任意一种情形。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文明施工、安全生产监督管理方案</w:t>
            </w:r>
          </w:p>
        </w:tc>
        <w:tc>
          <w:tcPr>
            <w:tcW w:type="dxa" w:w="2492"/>
          </w:tcPr>
          <w:p>
            <w:pPr>
              <w:pStyle w:val="null3"/>
            </w:pPr>
            <w:r>
              <w:rPr>
                <w:rFonts w:ascii="仿宋_GB2312" w:hAnsi="仿宋_GB2312" w:cs="仿宋_GB2312" w:eastAsia="仿宋_GB2312"/>
              </w:rPr>
              <w:t>针对本项目提供文明施工、安全生产监督管理方案，内容包括但不限于①责任体系构建②制度规范管控③现场措施监理④动态检查整改⑤应急联动处置措施等内容，方案内容详细完整、针对性强、可行性高，符合项目实际要求。总分10分，每项满分2分，缺项不得分,每项内容存在1处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针对本项目提供进度控制方案，内容包括但不限于①进度控制目标②进度控制原则③进度控制计划④分级管理原则⑤监控计划等内容，方案内容详细完整、针对性强、可行性高，符合项目实际要求。总分10分，每项满分2分，缺项不得分 , 每项内容存在1处缺陷，扣0.5分。缺陷是指内容不合理、虽有内容但不完善、内容表述前后不一致、套用其他项目方案或与项目需求不匹配及其他不利于项目实施的任意一种情形。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造价控制方案</w:t>
            </w:r>
          </w:p>
        </w:tc>
        <w:tc>
          <w:tcPr>
            <w:tcW w:type="dxa" w:w="2492"/>
          </w:tcPr>
          <w:p>
            <w:pPr>
              <w:pStyle w:val="null3"/>
            </w:pPr>
            <w:r>
              <w:rPr>
                <w:rFonts w:ascii="仿宋_GB2312" w:hAnsi="仿宋_GB2312" w:cs="仿宋_GB2312" w:eastAsia="仿宋_GB2312"/>
              </w:rPr>
              <w:t>针对本项目提供造价控制方案，内容包括但不限于①造价控制目标②造价控制原则③造价控制计划④造价风险分析⑤造价控制措施等内容，方案内容详细完整、针对性强、可行性高，符合项目实际要求。总分10分，每项满分2分，缺项不得分 ，每项内容存在1处缺陷，扣0.5分。缺陷是指内容不合理、虽有内容但不完善、内容表述前后不一致、套用其他项目方案或与项目需求不匹配及其他不利于项目实施的任意一种情形。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信息资料管理方案</w:t>
            </w:r>
          </w:p>
        </w:tc>
        <w:tc>
          <w:tcPr>
            <w:tcW w:type="dxa" w:w="2492"/>
          </w:tcPr>
          <w:p>
            <w:pPr>
              <w:pStyle w:val="null3"/>
            </w:pPr>
            <w:r>
              <w:rPr>
                <w:rFonts w:ascii="仿宋_GB2312" w:hAnsi="仿宋_GB2312" w:cs="仿宋_GB2312" w:eastAsia="仿宋_GB2312"/>
              </w:rPr>
              <w:t>针对本项目提供信息资料管理方案，内容包括但不限于①信息资料管理目标②信息资料管理原则③信息资料管理方法④资料归档与移交方案⑤资料管理监督与改进等内容，方案内容详细完整、针对性强、可行性高，符合项目实际要求。总分5分，每项满分1分，缺项不得分，每项内容存在1处缺陷，扣0.2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监理程序及工作制度</w:t>
            </w:r>
          </w:p>
        </w:tc>
        <w:tc>
          <w:tcPr>
            <w:tcW w:type="dxa" w:w="2492"/>
          </w:tcPr>
          <w:p>
            <w:pPr>
              <w:pStyle w:val="null3"/>
            </w:pPr>
            <w:r>
              <w:rPr>
                <w:rFonts w:ascii="仿宋_GB2312" w:hAnsi="仿宋_GB2312" w:cs="仿宋_GB2312" w:eastAsia="仿宋_GB2312"/>
              </w:rPr>
              <w:t>针对本项目提供监理程序及工作制度，内容包括但不限于①前期准备与规划程序②施工过程动态监理程序③协调与沟通工作制度④验收与交付监理程序⑤监理内部考核与责任制度等内容，方案内容详细完整、针对性强、可行性高，符合项目实际要求。总分5分，每项满分1分，缺项不得分，每项内容存在1处缺陷，扣0.2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旁站计划及措施</w:t>
            </w:r>
          </w:p>
        </w:tc>
        <w:tc>
          <w:tcPr>
            <w:tcW w:type="dxa" w:w="2492"/>
          </w:tcPr>
          <w:p>
            <w:pPr>
              <w:pStyle w:val="null3"/>
            </w:pPr>
            <w:r>
              <w:rPr>
                <w:rFonts w:ascii="仿宋_GB2312" w:hAnsi="仿宋_GB2312" w:cs="仿宋_GB2312" w:eastAsia="仿宋_GB2312"/>
              </w:rPr>
              <w:t>针对本项目提供旁站计划及措施，内容包括但不限于①旁站范围与计划编制②旁站人员资质与培训③全过程监督与记录规范④问题处理与联动机制⑤旁站成果分析与改进等内容，方案内容详细完整、针对性强、可行性高，符合项目实际要求。总分10分，每项满分2分，缺项不得分，每项内容存在1处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质保期内的监理服务措施</w:t>
            </w:r>
          </w:p>
        </w:tc>
        <w:tc>
          <w:tcPr>
            <w:tcW w:type="dxa" w:w="2492"/>
          </w:tcPr>
          <w:p>
            <w:pPr>
              <w:pStyle w:val="null3"/>
            </w:pPr>
            <w:r>
              <w:rPr>
                <w:rFonts w:ascii="仿宋_GB2312" w:hAnsi="仿宋_GB2312" w:cs="仿宋_GB2312" w:eastAsia="仿宋_GB2312"/>
              </w:rPr>
              <w:t>针对本项目提供质保期内的监理服务措施，内容包括但不限于①工程质量检查②缺陷整改追踪③变更管理④编写监理报告和记录⑤监督检查制度以及审查缺陷的修复方案等内容，方案内容详细完整、针对性强、可行性高，符合项目实际要求。总分5分，每项满分1分，缺项不得分，每项内容存在1处缺陷，扣0.2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合同、信息管理及协调方案</w:t>
            </w:r>
          </w:p>
        </w:tc>
        <w:tc>
          <w:tcPr>
            <w:tcW w:type="dxa" w:w="2492"/>
          </w:tcPr>
          <w:p>
            <w:pPr>
              <w:pStyle w:val="null3"/>
            </w:pPr>
            <w:r>
              <w:rPr>
                <w:rFonts w:ascii="仿宋_GB2312" w:hAnsi="仿宋_GB2312" w:cs="仿宋_GB2312" w:eastAsia="仿宋_GB2312"/>
              </w:rPr>
              <w:t>针对本项目提供合同、信息管理及协调方案，内容包括但不限于①合同全周期管控②信息标准化管理③多方协同协调机制④信息沟通与反馈⑤文档档案管理等内容，方案内容详细完整、针对性强、可行性高，符合项目实际要求。总分5分，每项满分1分，缺项不得分，每项内容存在1处缺陷，扣0.2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监理机构设置和岗位职责</w:t>
            </w:r>
          </w:p>
        </w:tc>
        <w:tc>
          <w:tcPr>
            <w:tcW w:type="dxa" w:w="2492"/>
          </w:tcPr>
          <w:p>
            <w:pPr>
              <w:pStyle w:val="null3"/>
            </w:pPr>
            <w:r>
              <w:rPr>
                <w:rFonts w:ascii="仿宋_GB2312" w:hAnsi="仿宋_GB2312" w:cs="仿宋_GB2312" w:eastAsia="仿宋_GB2312"/>
              </w:rPr>
              <w:t>针对拟派本项目专业监理人员配备齐全、责任划分明确、监理机构设置合理，监理人员配备至少应包括(除项目总监理工程师外):专业监理工程师2人、监理员2人。内容包括但不限于 ①监理机构配备；②人员岗位职责；③监理机构运行管理等内容，内容详细完整、针对性强、可行性高，符合项目实际要求。总分9分，每项满分3分，缺项不得分，每项内容存在1处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1）具备中级工程师及以上职称证书得3分，其余不得分；（2）具备专科及以上学历得2分，其余不得分；（3）总监理工程师提供2021年05⽉01⽇⾄今的类似项⽬业绩（业绩需体现项⽬总监理姓名），提供1项符合要求的业绩得2分。注:业绩需附合同协议书主要⻚复印件，时间以合同签订⽇期为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拟派总监理工程师情况表.docx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供应商提供2021年05⽉01⽇⾄今的类似项⽬业绩，每提供⼀个得2分,满分4分。注:业绩需附合同协议书主要⻚复印件，时间以合同签订⽇期为准。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1.经资格审查、符合性审查合格的磋商响应⽂件，其投标报价为有效响应报价。 2.价格分统⼀采⽤低价 优先法计算，即满⾜磋商⽂件要求且磋商价格最低的响应报价为磋商基准价，其价格分为满分。其他供 应商的价格分统⼀按照下列公式计算：磋商报价得分=(磋商基准价∕最终响应报价)×10。 注： 1）计算分数时四舍五⼊取⼩数点后两位； 2）评标委员会⼆分之⼀以上⼈员认为某磋商报价有低于成本价嫌疑的，为⽆效报价； 3）本项⽬专⻔⾯向中小企业，不再享受价格优惠政策。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详见附件：拟派总监理工程师情况表.docx</w:t>
      </w:r>
    </w:p>
    <w:p>
      <w:pPr>
        <w:pStyle w:val="null3"/>
        <w:ind w:firstLine="960"/>
      </w:pPr>
      <w:r>
        <w:rPr>
          <w:rFonts w:ascii="仿宋_GB2312" w:hAnsi="仿宋_GB2312" w:cs="仿宋_GB2312" w:eastAsia="仿宋_GB2312"/>
        </w:rPr>
        <w:t>详见附件：近年完成的类似项目情况表.docx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