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4C2AA">
      <w:pPr>
        <w:spacing w:line="360" w:lineRule="auto"/>
        <w:rPr>
          <w:rFonts w:hint="eastAsia" w:ascii="仿宋_GB2312" w:eastAsia="仿宋_GB2312"/>
          <w:b/>
          <w:sz w:val="32"/>
          <w:szCs w:val="32"/>
          <w:highlight w:val="none"/>
        </w:rPr>
      </w:pPr>
    </w:p>
    <w:p w14:paraId="230E750D">
      <w:pPr>
        <w:spacing w:line="360" w:lineRule="auto"/>
        <w:rPr>
          <w:rFonts w:hint="eastAsia" w:ascii="仿宋_GB2312" w:hAnsi="宋体" w:eastAsia="仿宋_GB2312"/>
          <w:b/>
          <w:bCs/>
          <w:sz w:val="30"/>
          <w:szCs w:val="30"/>
          <w:highlight w:val="none"/>
        </w:rPr>
      </w:pPr>
      <w:r>
        <w:rPr>
          <w:rFonts w:hint="eastAsia" w:ascii="仿宋_GB2312" w:eastAsia="仿宋_GB2312"/>
          <w:b/>
          <w:sz w:val="32"/>
          <w:szCs w:val="32"/>
          <w:highlight w:val="none"/>
        </w:rPr>
        <w:t>（ＧＦ－2012－0202）</w:t>
      </w:r>
    </w:p>
    <w:p w14:paraId="48C61784">
      <w:pPr>
        <w:spacing w:line="360" w:lineRule="auto"/>
        <w:jc w:val="center"/>
        <w:rPr>
          <w:rFonts w:hint="eastAsia" w:ascii="仿宋_GB2312" w:hAnsi="宋体" w:eastAsia="仿宋_GB2312"/>
          <w:b/>
          <w:bCs/>
          <w:sz w:val="52"/>
          <w:szCs w:val="52"/>
          <w:highlight w:val="none"/>
        </w:rPr>
      </w:pPr>
    </w:p>
    <w:p w14:paraId="38ECEECC">
      <w:pPr>
        <w:spacing w:line="360" w:lineRule="auto"/>
        <w:jc w:val="center"/>
        <w:rPr>
          <w:rFonts w:hint="eastAsia" w:ascii="华文中宋" w:hAnsi="华文中宋" w:eastAsia="华文中宋"/>
          <w:b/>
          <w:bCs/>
          <w:sz w:val="48"/>
          <w:szCs w:val="48"/>
          <w:highlight w:val="none"/>
        </w:rPr>
      </w:pPr>
    </w:p>
    <w:p w14:paraId="26F26B32">
      <w:pPr>
        <w:spacing w:line="360" w:lineRule="auto"/>
        <w:jc w:val="center"/>
        <w:rPr>
          <w:rFonts w:hint="eastAsia" w:ascii="华文中宋" w:hAnsi="华文中宋" w:eastAsia="华文中宋"/>
          <w:b/>
          <w:bCs/>
          <w:sz w:val="52"/>
          <w:szCs w:val="52"/>
          <w:highlight w:val="none"/>
        </w:rPr>
      </w:pPr>
      <w:r>
        <w:rPr>
          <w:rFonts w:hint="eastAsia" w:ascii="华文中宋" w:hAnsi="华文中宋" w:eastAsia="华文中宋"/>
          <w:b/>
          <w:bCs/>
          <w:sz w:val="52"/>
          <w:szCs w:val="52"/>
          <w:highlight w:val="none"/>
        </w:rPr>
        <w:t>建设工程监理合同</w:t>
      </w:r>
    </w:p>
    <w:p w14:paraId="2A4B4C0A">
      <w:pPr>
        <w:spacing w:line="360" w:lineRule="auto"/>
        <w:jc w:val="center"/>
        <w:rPr>
          <w:rFonts w:hint="eastAsia" w:ascii="仿宋_GB2312" w:hAnsi="宋体" w:eastAsia="仿宋_GB2312"/>
          <w:bCs/>
          <w:sz w:val="48"/>
          <w:szCs w:val="48"/>
          <w:highlight w:val="none"/>
        </w:rPr>
      </w:pPr>
    </w:p>
    <w:p w14:paraId="55EF2D01">
      <w:pPr>
        <w:spacing w:line="360" w:lineRule="auto"/>
        <w:jc w:val="center"/>
        <w:rPr>
          <w:rFonts w:hint="eastAsia" w:ascii="仿宋_GB2312" w:hAnsi="宋体" w:eastAsia="仿宋_GB2312"/>
          <w:b/>
          <w:bCs/>
          <w:sz w:val="24"/>
          <w:highlight w:val="none"/>
        </w:rPr>
      </w:pPr>
    </w:p>
    <w:p w14:paraId="09984700">
      <w:pPr>
        <w:spacing w:line="360" w:lineRule="auto"/>
        <w:jc w:val="center"/>
        <w:rPr>
          <w:rFonts w:hint="eastAsia" w:ascii="仿宋_GB2312" w:hAnsi="宋体" w:eastAsia="仿宋_GB2312"/>
          <w:b/>
          <w:bCs/>
          <w:sz w:val="24"/>
          <w:highlight w:val="none"/>
        </w:rPr>
      </w:pPr>
    </w:p>
    <w:p w14:paraId="420DBB02">
      <w:pPr>
        <w:spacing w:line="360" w:lineRule="auto"/>
        <w:jc w:val="center"/>
        <w:rPr>
          <w:rFonts w:hint="eastAsia" w:ascii="仿宋_GB2312" w:hAnsi="宋体" w:eastAsia="仿宋_GB2312"/>
          <w:b/>
          <w:bCs/>
          <w:sz w:val="24"/>
          <w:highlight w:val="none"/>
        </w:rPr>
      </w:pPr>
    </w:p>
    <w:p w14:paraId="00F7E634">
      <w:pPr>
        <w:spacing w:line="360" w:lineRule="auto"/>
        <w:jc w:val="center"/>
        <w:rPr>
          <w:rFonts w:hint="eastAsia" w:ascii="仿宋_GB2312" w:hAnsi="宋体" w:eastAsia="仿宋_GB2312"/>
          <w:b/>
          <w:bCs/>
          <w:sz w:val="24"/>
          <w:highlight w:val="none"/>
        </w:rPr>
      </w:pPr>
    </w:p>
    <w:p w14:paraId="3895A23D">
      <w:pPr>
        <w:spacing w:line="360" w:lineRule="auto"/>
        <w:jc w:val="center"/>
        <w:rPr>
          <w:rFonts w:hint="eastAsia" w:ascii="仿宋_GB2312" w:hAnsi="宋体" w:eastAsia="仿宋_GB2312"/>
          <w:b/>
          <w:bCs/>
          <w:sz w:val="24"/>
          <w:highlight w:val="none"/>
        </w:rPr>
      </w:pPr>
    </w:p>
    <w:p w14:paraId="358E9386">
      <w:pPr>
        <w:spacing w:line="360" w:lineRule="auto"/>
        <w:jc w:val="center"/>
        <w:rPr>
          <w:rFonts w:hint="eastAsia" w:ascii="仿宋_GB2312" w:hAnsi="宋体" w:eastAsia="仿宋_GB2312"/>
          <w:b/>
          <w:bCs/>
          <w:sz w:val="24"/>
          <w:highlight w:val="none"/>
        </w:rPr>
      </w:pPr>
    </w:p>
    <w:p w14:paraId="5DAB9E11">
      <w:pPr>
        <w:spacing w:line="360" w:lineRule="auto"/>
        <w:jc w:val="center"/>
        <w:rPr>
          <w:rFonts w:hint="eastAsia" w:ascii="仿宋_GB2312" w:hAnsi="宋体" w:eastAsia="仿宋_GB2312"/>
          <w:b/>
          <w:bCs/>
          <w:sz w:val="24"/>
          <w:highlight w:val="none"/>
        </w:rPr>
      </w:pPr>
    </w:p>
    <w:p w14:paraId="3980E417">
      <w:pPr>
        <w:spacing w:line="360" w:lineRule="auto"/>
        <w:rPr>
          <w:rFonts w:hint="eastAsia" w:ascii="仿宋_GB2312" w:hAnsi="宋体" w:eastAsia="仿宋_GB2312"/>
          <w:b/>
          <w:bCs/>
          <w:sz w:val="24"/>
          <w:highlight w:val="none"/>
        </w:rPr>
      </w:pPr>
    </w:p>
    <w:p w14:paraId="243727EE">
      <w:pPr>
        <w:spacing w:line="360" w:lineRule="auto"/>
        <w:rPr>
          <w:rFonts w:hint="eastAsia" w:ascii="仿宋_GB2312" w:hAnsi="宋体" w:eastAsia="仿宋_GB2312"/>
          <w:b/>
          <w:bCs/>
          <w:sz w:val="24"/>
          <w:highlight w:val="none"/>
        </w:rPr>
      </w:pPr>
    </w:p>
    <w:p w14:paraId="7B8F3889">
      <w:pPr>
        <w:spacing w:line="360" w:lineRule="auto"/>
        <w:rPr>
          <w:rFonts w:hint="eastAsia" w:ascii="仿宋_GB2312" w:hAnsi="宋体" w:eastAsia="仿宋_GB2312"/>
          <w:b/>
          <w:bCs/>
          <w:sz w:val="24"/>
          <w:highlight w:val="none"/>
        </w:rPr>
      </w:pPr>
    </w:p>
    <w:p w14:paraId="4C789D3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华文中宋" w:hAnsi="华文中宋" w:eastAsia="华文中宋"/>
          <w:b/>
          <w:highlight w:val="none"/>
        </w:rPr>
      </w:pPr>
      <w:r>
        <w:rPr>
          <w:rFonts w:hint="eastAsia" w:ascii="仿宋_GB2312" w:hAnsi="宋体" w:eastAsia="仿宋_GB2312"/>
          <w:b/>
          <w:bCs/>
          <w:sz w:val="32"/>
          <w:szCs w:val="32"/>
          <w:highlight w:val="none"/>
        </w:rPr>
        <w:t xml:space="preserve">  </w:t>
      </w:r>
      <w:r>
        <w:rPr>
          <w:rFonts w:hint="eastAsia" w:ascii="华文中宋" w:hAnsi="华文中宋" w:eastAsia="华文中宋"/>
          <w:b/>
          <w:bCs/>
          <w:sz w:val="32"/>
          <w:szCs w:val="32"/>
          <w:highlight w:val="none"/>
        </w:rPr>
        <w:t>住房和城乡建设部</w:t>
      </w:r>
    </w:p>
    <w:p w14:paraId="7952A60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华文中宋" w:hAnsi="华文中宋" w:eastAsia="华文中宋"/>
          <w:b/>
          <w:sz w:val="32"/>
          <w:szCs w:val="32"/>
          <w:highlight w:val="none"/>
        </w:rPr>
      </w:pPr>
      <w:r>
        <w:rPr>
          <w:rFonts w:hint="eastAsia" w:ascii="华文中宋" w:hAnsi="华文中宋" w:eastAsia="华文中宋"/>
          <w:b/>
          <w:highlight w:val="none"/>
        </w:rPr>
        <w:t xml:space="preserve">                                                          </w:t>
      </w:r>
      <w:r>
        <w:rPr>
          <w:rFonts w:hint="eastAsia" w:ascii="华文中宋" w:hAnsi="华文中宋" w:eastAsia="华文中宋"/>
          <w:b/>
          <w:sz w:val="32"/>
          <w:szCs w:val="32"/>
          <w:highlight w:val="none"/>
        </w:rPr>
        <w:t>制定</w:t>
      </w:r>
    </w:p>
    <w:p w14:paraId="3A5253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华文中宋" w:hAnsi="华文中宋" w:eastAsia="华文中宋"/>
          <w:b/>
          <w:highlight w:val="none"/>
        </w:rPr>
      </w:pPr>
      <w:r>
        <w:rPr>
          <w:rFonts w:hint="eastAsia" w:ascii="华文中宋" w:hAnsi="华文中宋" w:eastAsia="华文中宋"/>
          <w:b/>
          <w:bCs/>
          <w:sz w:val="32"/>
          <w:szCs w:val="32"/>
          <w:highlight w:val="none"/>
        </w:rPr>
        <w:t xml:space="preserve">   国家工商行政管理总局</w:t>
      </w:r>
    </w:p>
    <w:p w14:paraId="6819016A">
      <w:pPr>
        <w:rPr>
          <w:rStyle w:val="5"/>
          <w:rFonts w:hint="eastAsia" w:ascii="宋体" w:hAnsi="宋体" w:eastAsia="宋体" w:cs="宋体"/>
          <w:b/>
          <w:bCs/>
          <w:color w:val="auto"/>
          <w:sz w:val="32"/>
          <w:szCs w:val="32"/>
          <w:highlight w:val="none"/>
          <w:lang w:val="en-US" w:eastAsia="zh-CN"/>
        </w:rPr>
      </w:pPr>
    </w:p>
    <w:p w14:paraId="2A605303">
      <w:pPr>
        <w:rPr>
          <w:rFonts w:hint="eastAsia"/>
          <w:highlight w:val="none"/>
          <w:lang w:val="en-US" w:eastAsia="zh-CN"/>
        </w:rPr>
      </w:pPr>
    </w:p>
    <w:p w14:paraId="717D4622">
      <w:pPr>
        <w:rPr>
          <w:rFonts w:hint="eastAsia" w:ascii="宋体" w:hAnsi="宋体" w:eastAsia="宋体" w:cs="宋体"/>
          <w:b/>
          <w:bCs/>
          <w:color w:val="auto"/>
          <w:spacing w:val="-1"/>
          <w:sz w:val="24"/>
          <w:szCs w:val="24"/>
          <w:highlight w:val="none"/>
        </w:rPr>
      </w:pPr>
      <w:bookmarkStart w:id="0" w:name="第一部分 协议书"/>
      <w:bookmarkEnd w:id="0"/>
      <w:bookmarkStart w:id="1" w:name="第五章 委托人要求"/>
      <w:bookmarkEnd w:id="1"/>
      <w:bookmarkStart w:id="2" w:name="_bookmark3"/>
      <w:bookmarkEnd w:id="2"/>
      <w:r>
        <w:rPr>
          <w:rFonts w:hint="eastAsia" w:ascii="宋体" w:hAnsi="宋体" w:eastAsia="宋体" w:cs="宋体"/>
          <w:b/>
          <w:bCs/>
          <w:color w:val="auto"/>
          <w:spacing w:val="-1"/>
          <w:sz w:val="24"/>
          <w:szCs w:val="24"/>
          <w:highlight w:val="none"/>
        </w:rPr>
        <w:br w:type="page"/>
      </w:r>
    </w:p>
    <w:p w14:paraId="54299AE8">
      <w:pPr>
        <w:spacing w:before="91" w:line="360" w:lineRule="auto"/>
        <w:ind w:left="3316"/>
        <w:rPr>
          <w:rFonts w:hint="eastAsia" w:ascii="宋体" w:hAnsi="宋体" w:eastAsia="宋体" w:cs="宋体"/>
          <w:b/>
          <w:bCs/>
          <w:color w:val="auto"/>
          <w:sz w:val="24"/>
          <w:szCs w:val="24"/>
          <w:highlight w:val="none"/>
        </w:rPr>
      </w:pPr>
      <w:r>
        <w:rPr>
          <w:rFonts w:hint="eastAsia" w:ascii="宋体" w:hAnsi="宋体" w:eastAsia="宋体" w:cs="宋体"/>
          <w:b/>
          <w:bCs/>
          <w:color w:val="auto"/>
          <w:spacing w:val="-1"/>
          <w:sz w:val="24"/>
          <w:szCs w:val="24"/>
          <w:highlight w:val="none"/>
        </w:rPr>
        <w:t>第一部分  协议书</w:t>
      </w:r>
    </w:p>
    <w:p w14:paraId="6BE535AD">
      <w:pPr>
        <w:spacing w:before="319" w:line="360" w:lineRule="auto"/>
        <w:ind w:left="557"/>
        <w:rPr>
          <w:rFonts w:hint="eastAsia" w:ascii="宋体" w:hAnsi="宋体" w:eastAsia="宋体" w:cs="宋体"/>
          <w:b/>
          <w:bCs/>
          <w:color w:val="auto"/>
          <w:sz w:val="24"/>
          <w:szCs w:val="24"/>
          <w:highlight w:val="none"/>
        </w:rPr>
      </w:pPr>
      <w:r>
        <w:rPr>
          <w:rFonts w:hint="eastAsia" w:ascii="宋体" w:hAnsi="宋体" w:eastAsia="宋体" w:cs="宋体"/>
          <w:b/>
          <w:bCs/>
          <w:color w:val="auto"/>
          <w:spacing w:val="-1"/>
          <w:sz w:val="24"/>
          <w:szCs w:val="24"/>
          <w:highlight w:val="none"/>
        </w:rPr>
        <w:t>委托人（全称</w:t>
      </w:r>
      <w:r>
        <w:rPr>
          <w:rFonts w:hint="eastAsia" w:ascii="宋体" w:hAnsi="宋体" w:eastAsia="宋体" w:cs="宋体"/>
          <w:b/>
          <w:bCs/>
          <w:color w:val="auto"/>
          <w:spacing w:val="1"/>
          <w:sz w:val="24"/>
          <w:szCs w:val="24"/>
          <w:highlight w:val="none"/>
        </w:rPr>
        <w:t>）：</w:t>
      </w:r>
      <w:r>
        <w:rPr>
          <w:rFonts w:hint="eastAsia" w:ascii="宋体" w:hAnsi="宋体" w:eastAsia="宋体" w:cs="宋体"/>
          <w:b/>
          <w:bCs/>
          <w:color w:val="auto"/>
          <w:spacing w:val="1"/>
          <w:sz w:val="24"/>
          <w:szCs w:val="24"/>
          <w:highlight w:val="none"/>
          <w:u w:val="single" w:color="auto"/>
        </w:rPr>
        <w:t xml:space="preserve">                      </w:t>
      </w:r>
      <w:r>
        <w:rPr>
          <w:rFonts w:hint="eastAsia" w:ascii="宋体" w:hAnsi="宋体" w:eastAsia="宋体" w:cs="宋体"/>
          <w:b/>
          <w:bCs/>
          <w:color w:val="auto"/>
          <w:sz w:val="24"/>
          <w:szCs w:val="24"/>
          <w:highlight w:val="none"/>
          <w:u w:val="single" w:color="auto"/>
        </w:rPr>
        <w:t xml:space="preserve">                   </w:t>
      </w:r>
      <w:r>
        <w:rPr>
          <w:rFonts w:hint="eastAsia" w:ascii="宋体" w:hAnsi="宋体" w:eastAsia="宋体" w:cs="宋体"/>
          <w:b/>
          <w:bCs/>
          <w:color w:val="auto"/>
          <w:spacing w:val="1"/>
          <w:sz w:val="24"/>
          <w:szCs w:val="24"/>
          <w:highlight w:val="none"/>
        </w:rPr>
        <w:t xml:space="preserve"> </w:t>
      </w:r>
    </w:p>
    <w:p w14:paraId="46A14430">
      <w:pPr>
        <w:keepNext w:val="0"/>
        <w:keepLines w:val="0"/>
        <w:pageBreakBefore w:val="0"/>
        <w:shd w:val="clear" w:color="auto" w:fill="auto"/>
        <w:kinsoku/>
        <w:wordWrap/>
        <w:overflowPunct/>
        <w:topLinePunct w:val="0"/>
        <w:autoSpaceDE w:val="0"/>
        <w:autoSpaceDN w:val="0"/>
        <w:bidi w:val="0"/>
        <w:adjustRightInd w:val="0"/>
        <w:snapToGrid w:val="0"/>
        <w:spacing w:line="360" w:lineRule="auto"/>
        <w:ind w:firstLine="478" w:firstLineChars="200"/>
        <w:jc w:val="both"/>
        <w:rPr>
          <w:rFonts w:hint="eastAsia" w:ascii="宋体" w:hAnsi="宋体" w:eastAsia="宋体" w:cs="宋体"/>
          <w:color w:val="auto"/>
          <w:spacing w:val="1"/>
          <w:sz w:val="24"/>
          <w:szCs w:val="24"/>
          <w:highlight w:val="none"/>
        </w:rPr>
      </w:pPr>
      <w:r>
        <w:rPr>
          <w:rFonts w:hint="eastAsia" w:ascii="宋体" w:hAnsi="宋体" w:eastAsia="宋体" w:cs="宋体"/>
          <w:b/>
          <w:bCs/>
          <w:color w:val="auto"/>
          <w:spacing w:val="-1"/>
          <w:sz w:val="24"/>
          <w:szCs w:val="24"/>
          <w:highlight w:val="none"/>
        </w:rPr>
        <w:t>监理人（全称</w:t>
      </w:r>
      <w:r>
        <w:rPr>
          <w:rFonts w:hint="eastAsia" w:ascii="宋体" w:hAnsi="宋体" w:eastAsia="宋体" w:cs="宋体"/>
          <w:b/>
          <w:bCs/>
          <w:color w:val="auto"/>
          <w:sz w:val="24"/>
          <w:szCs w:val="24"/>
          <w:highlight w:val="none"/>
        </w:rPr>
        <w:t>）：</w:t>
      </w:r>
      <w:r>
        <w:rPr>
          <w:rFonts w:hint="eastAsia" w:ascii="宋体" w:hAnsi="宋体" w:eastAsia="宋体" w:cs="宋体"/>
          <w:b/>
          <w:bCs/>
          <w:color w:val="auto"/>
          <w:spacing w:val="1"/>
          <w:sz w:val="24"/>
          <w:szCs w:val="24"/>
          <w:highlight w:val="none"/>
          <w:u w:val="single" w:color="auto"/>
        </w:rPr>
        <w:t xml:space="preserve">                      </w:t>
      </w:r>
      <w:r>
        <w:rPr>
          <w:rFonts w:hint="eastAsia" w:ascii="宋体" w:hAnsi="宋体" w:eastAsia="宋体" w:cs="宋体"/>
          <w:b/>
          <w:bCs/>
          <w:color w:val="auto"/>
          <w:sz w:val="24"/>
          <w:szCs w:val="24"/>
          <w:highlight w:val="none"/>
          <w:u w:val="single" w:color="auto"/>
        </w:rPr>
        <w:t xml:space="preserve">                   </w:t>
      </w:r>
      <w:r>
        <w:rPr>
          <w:rFonts w:hint="eastAsia" w:ascii="宋体" w:hAnsi="宋体" w:eastAsia="宋体" w:cs="宋体"/>
          <w:b/>
          <w:bCs/>
          <w:color w:val="auto"/>
          <w:spacing w:val="1"/>
          <w:sz w:val="24"/>
          <w:szCs w:val="24"/>
          <w:highlight w:val="none"/>
        </w:rPr>
        <w:t xml:space="preserve"> </w:t>
      </w:r>
    </w:p>
    <w:p w14:paraId="3D1A7737">
      <w:pPr>
        <w:keepNext w:val="0"/>
        <w:keepLines w:val="0"/>
        <w:pageBreakBefore w:val="0"/>
        <w:widowControl w:val="0"/>
        <w:shd w:val="clear" w:color="auto" w:fill="auto"/>
        <w:kinsoku/>
        <w:wordWrap/>
        <w:overflowPunct/>
        <w:topLinePunct w:val="0"/>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根据《中华人民共和国民法典》及其他有关法律、法规，遵循平等、自愿、公平和诚信的原则，双方就下述工程委托监理与相关服务事项协商一致，订立本合同。</w:t>
      </w:r>
    </w:p>
    <w:p w14:paraId="1AD649DA">
      <w:pPr>
        <w:keepNext w:val="0"/>
        <w:keepLines w:val="0"/>
        <w:pageBreakBefore w:val="0"/>
        <w:widowControl w:val="0"/>
        <w:numPr>
          <w:ilvl w:val="0"/>
          <w:numId w:val="2"/>
        </w:numPr>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工程名称</w:t>
      </w:r>
      <w:r>
        <w:rPr>
          <w:rFonts w:hint="eastAsia" w:ascii="宋体" w:hAnsi="宋体" w:eastAsia="宋体" w:cs="宋体"/>
          <w:color w:val="auto"/>
          <w:kern w:val="2"/>
          <w:sz w:val="24"/>
          <w:szCs w:val="24"/>
          <w:highlight w:val="none"/>
          <w:lang w:val="en-US" w:eastAsia="zh-CN" w:bidi="ar-SA"/>
        </w:rPr>
        <w:t>：</w:t>
      </w:r>
    </w:p>
    <w:p w14:paraId="2BB28B26">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1.工程名称：</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6BDCE41F">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2.工程地点：</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16A494FF">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3.工程规模：</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none"/>
          <w:lang w:val="en-US" w:eastAsia="zh-CN" w:bidi="ar-SA"/>
        </w:rPr>
        <w:t>；</w:t>
      </w:r>
    </w:p>
    <w:p w14:paraId="5A025537">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w:t>
      </w:r>
      <w:r>
        <w:rPr>
          <w:rFonts w:hint="eastAsia" w:ascii="宋体" w:hAnsi="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工程概算投资额：</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万元 </w:t>
      </w:r>
    </w:p>
    <w:p w14:paraId="2C2AA7E5">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二、词语限定：</w:t>
      </w:r>
      <w:r>
        <w:rPr>
          <w:rFonts w:hint="eastAsia" w:ascii="宋体" w:hAnsi="宋体" w:eastAsia="宋体" w:cs="宋体"/>
          <w:color w:val="auto"/>
          <w:kern w:val="2"/>
          <w:sz w:val="24"/>
          <w:szCs w:val="24"/>
          <w:highlight w:val="none"/>
          <w:lang w:val="en-US" w:eastAsia="zh-CN" w:bidi="ar-SA"/>
        </w:rPr>
        <w:t>协议书中相关词语的含义与通用条件中的定义与解释相同。</w:t>
      </w:r>
    </w:p>
    <w:p w14:paraId="5A191998">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三、组成本合同的文件</w:t>
      </w:r>
    </w:p>
    <w:p w14:paraId="3A4197C1">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1.协议书；</w:t>
      </w:r>
    </w:p>
    <w:p w14:paraId="23F43521">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2.中标通知书；</w:t>
      </w:r>
    </w:p>
    <w:p w14:paraId="4DBB5AD9">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3.投标文件；</w:t>
      </w:r>
    </w:p>
    <w:p w14:paraId="261C391E">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4.专用条件；</w:t>
      </w:r>
    </w:p>
    <w:p w14:paraId="4CBBAA7C">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5.通用条件；</w:t>
      </w:r>
    </w:p>
    <w:p w14:paraId="2F8D502E">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6.附录，即：</w:t>
      </w:r>
    </w:p>
    <w:p w14:paraId="2EFC4CB6">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附录 A  相关服务的范围和内容</w:t>
      </w:r>
    </w:p>
    <w:p w14:paraId="00B8B827">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附录 B  委托人派遣的人员和提供的房屋、资料、设备</w:t>
      </w:r>
    </w:p>
    <w:p w14:paraId="34EB2A4B">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本合同签订后，双方依法签订的补充协议也是本合同文件的组成部分。</w:t>
      </w:r>
    </w:p>
    <w:p w14:paraId="7B985456">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四、总监理工程师</w:t>
      </w:r>
    </w:p>
    <w:p w14:paraId="13C5CF44">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总监理工程师姓名：</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，身份证号码：</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，注册号：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5F09C33E">
      <w:pPr>
        <w:keepNext w:val="0"/>
        <w:keepLines w:val="0"/>
        <w:pageBreakBefore w:val="0"/>
        <w:widowControl w:val="0"/>
        <w:shd w:val="clear" w:color="auto" w:fill="auto"/>
        <w:kinsoku/>
        <w:wordWrap/>
        <w:overflowPunct/>
        <w:topLinePunct w:val="0"/>
        <w:autoSpaceDE/>
        <w:autoSpaceDN/>
        <w:bidi w:val="0"/>
        <w:adjustRightInd w:val="0"/>
        <w:spacing w:beforeAutospacing="0" w:afterAutospacing="0"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五、签约酬金</w:t>
      </w:r>
    </w:p>
    <w:p w14:paraId="7BD602D1">
      <w:pPr>
        <w:keepNext w:val="0"/>
        <w:keepLines w:val="0"/>
        <w:pageBreakBefore w:val="0"/>
        <w:widowControl w:val="0"/>
        <w:shd w:val="clear" w:color="auto" w:fill="auto"/>
        <w:kinsoku/>
        <w:wordWrap/>
        <w:overflowPunct/>
        <w:topLinePunct w:val="0"/>
        <w:autoSpaceDE/>
        <w:autoSpaceDN/>
        <w:bidi w:val="0"/>
        <w:adjustRightInd w:val="0"/>
        <w:spacing w:beforeAutospacing="0" w:afterAutospacing="0"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1．签约酬金：人民币（大写）：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）（已含税）。</w:t>
      </w:r>
    </w:p>
    <w:p w14:paraId="792BD784">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六、期限</w:t>
      </w:r>
    </w:p>
    <w:p w14:paraId="0EED400A">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监理期限：</w:t>
      </w:r>
      <w:r>
        <w:rPr>
          <w:rFonts w:hint="eastAsia" w:ascii="宋体" w:hAnsi="宋体" w:eastAsia="宋体" w:cs="宋体"/>
          <w:b w:val="0"/>
          <w:bCs w:val="0"/>
          <w:i w:val="0"/>
          <w:iCs w:val="0"/>
          <w:color w:val="auto"/>
          <w:sz w:val="24"/>
          <w:szCs w:val="24"/>
          <w:highlight w:val="none"/>
          <w:lang w:val="en-US" w:eastAsia="zh-CN"/>
        </w:rPr>
        <w:t>自合同签订之日起至竣工、缺陷责任期满。</w:t>
      </w:r>
    </w:p>
    <w:p w14:paraId="48C7C670">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自</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年</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月</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日始，至</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年</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月</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日止。</w:t>
      </w:r>
    </w:p>
    <w:p w14:paraId="66FE0E9D">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七、双方承诺</w:t>
      </w:r>
    </w:p>
    <w:p w14:paraId="502AD8FC">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监理人向委托人承诺，按照本合同约定提供监理与相关服务。</w:t>
      </w:r>
    </w:p>
    <w:p w14:paraId="1B0B0B0D">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委托人向监理人承诺，按照本合同约定派遣相应的人员，提供房屋、资料、设备，并按本合同约定支付酬金。</w:t>
      </w:r>
    </w:p>
    <w:p w14:paraId="7F583BDD">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八、合同订立</w:t>
      </w:r>
    </w:p>
    <w:p w14:paraId="192A12B0">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订立时间：</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年</w:t>
      </w:r>
      <w:r>
        <w:rPr>
          <w:rFonts w:hint="eastAsia" w:ascii="宋体" w:hAnsi="宋体" w:eastAsia="宋体" w:cs="宋体"/>
          <w:i/>
          <w:iCs/>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月</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日。</w:t>
      </w:r>
    </w:p>
    <w:p w14:paraId="3C4A107B">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订立地点：</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7A19AAF6">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本合同一式</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份，具有同等法律效力，双方各执</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份。</w:t>
      </w:r>
    </w:p>
    <w:p w14:paraId="385D7675">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p>
    <w:p w14:paraId="030FF7DE">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p>
    <w:p w14:paraId="290F83B6">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委托人：</w:t>
      </w:r>
      <w:r>
        <w:rPr>
          <w:rFonts w:hint="eastAsia" w:ascii="宋体" w:hAnsi="宋体" w:eastAsia="宋体" w:cs="宋体"/>
          <w:color w:val="auto"/>
          <w:kern w:val="2"/>
          <w:sz w:val="24"/>
          <w:szCs w:val="24"/>
          <w:highlight w:val="none"/>
          <w:u w:val="single"/>
          <w:lang w:val="en-US" w:eastAsia="zh-CN" w:bidi="ar-SA"/>
        </w:rPr>
        <w:t xml:space="preserve">      （盖章）         </w:t>
      </w:r>
      <w:r>
        <w:rPr>
          <w:rFonts w:hint="eastAsia" w:ascii="宋体" w:hAnsi="宋体" w:eastAsia="宋体" w:cs="宋体"/>
          <w:color w:val="auto"/>
          <w:kern w:val="2"/>
          <w:sz w:val="24"/>
          <w:szCs w:val="24"/>
          <w:highlight w:val="none"/>
          <w:lang w:val="en-US" w:eastAsia="zh-CN" w:bidi="ar-SA"/>
        </w:rPr>
        <w:t xml:space="preserve"> 监理人：</w:t>
      </w:r>
      <w:r>
        <w:rPr>
          <w:rFonts w:hint="eastAsia" w:ascii="宋体" w:hAnsi="宋体" w:eastAsia="宋体" w:cs="宋体"/>
          <w:color w:val="auto"/>
          <w:kern w:val="2"/>
          <w:sz w:val="24"/>
          <w:szCs w:val="24"/>
          <w:highlight w:val="none"/>
          <w:u w:val="single"/>
          <w:lang w:val="en-US" w:eastAsia="zh-CN" w:bidi="ar-SA"/>
        </w:rPr>
        <w:t xml:space="preserve">      （盖章）       </w:t>
      </w:r>
    </w:p>
    <w:p w14:paraId="5355246C">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住所：</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住所：</w:t>
      </w:r>
      <w:r>
        <w:rPr>
          <w:rFonts w:hint="eastAsia" w:ascii="宋体" w:hAnsi="宋体" w:eastAsia="宋体" w:cs="宋体"/>
          <w:color w:val="auto"/>
          <w:kern w:val="2"/>
          <w:sz w:val="24"/>
          <w:szCs w:val="24"/>
          <w:highlight w:val="none"/>
          <w:u w:val="single"/>
          <w:lang w:val="en-US" w:eastAsia="zh-CN" w:bidi="ar-SA"/>
        </w:rPr>
        <w:t xml:space="preserve">                       </w:t>
      </w:r>
    </w:p>
    <w:p w14:paraId="64A558E7">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邮政编码：</w:t>
      </w:r>
      <w:r>
        <w:rPr>
          <w:rFonts w:hint="eastAsia" w:ascii="宋体" w:hAnsi="宋体" w:eastAsia="宋体" w:cs="宋体"/>
          <w:strike w:val="0"/>
          <w:dstrike w:val="0"/>
          <w:color w:val="auto"/>
          <w:kern w:val="2"/>
          <w:sz w:val="24"/>
          <w:szCs w:val="24"/>
          <w:highlight w:val="none"/>
          <w:u w:val="single"/>
          <w:lang w:val="en-US" w:eastAsia="zh-CN" w:bidi="ar-SA"/>
        </w:rPr>
        <w:t xml:space="preserve">                   </w:t>
      </w:r>
    </w:p>
    <w:p w14:paraId="5DA46999">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法定代表人或其授权              法定代表人或其授权</w:t>
      </w:r>
    </w:p>
    <w:p w14:paraId="52F73C2B">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的代理人：</w:t>
      </w:r>
      <w:r>
        <w:rPr>
          <w:rFonts w:hint="eastAsia" w:ascii="宋体" w:hAnsi="宋体" w:eastAsia="宋体" w:cs="宋体"/>
          <w:color w:val="auto"/>
          <w:kern w:val="2"/>
          <w:sz w:val="24"/>
          <w:szCs w:val="24"/>
          <w:highlight w:val="none"/>
          <w:u w:val="single"/>
          <w:lang w:val="en-US" w:eastAsia="zh-CN" w:bidi="ar-SA"/>
        </w:rPr>
        <w:t xml:space="preserve">（签字）              </w:t>
      </w:r>
      <w:r>
        <w:rPr>
          <w:rFonts w:hint="eastAsia" w:ascii="宋体" w:hAnsi="宋体" w:eastAsia="宋体" w:cs="宋体"/>
          <w:color w:val="auto"/>
          <w:kern w:val="2"/>
          <w:sz w:val="24"/>
          <w:szCs w:val="24"/>
          <w:highlight w:val="none"/>
          <w:lang w:val="en-US" w:eastAsia="zh-CN" w:bidi="ar-SA"/>
        </w:rPr>
        <w:t>的代理人：</w:t>
      </w:r>
      <w:r>
        <w:rPr>
          <w:rFonts w:hint="eastAsia" w:ascii="宋体" w:hAnsi="宋体" w:eastAsia="宋体" w:cs="宋体"/>
          <w:color w:val="auto"/>
          <w:kern w:val="2"/>
          <w:sz w:val="24"/>
          <w:szCs w:val="24"/>
          <w:highlight w:val="none"/>
          <w:u w:val="single"/>
          <w:lang w:val="en-US" w:eastAsia="zh-CN" w:bidi="ar-SA"/>
        </w:rPr>
        <w:t xml:space="preserve">（签字）            </w:t>
      </w:r>
    </w:p>
    <w:p w14:paraId="5F67E0C7">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开户银行：</w:t>
      </w:r>
      <w:r>
        <w:rPr>
          <w:rFonts w:hint="eastAsia" w:ascii="宋体" w:hAnsi="宋体" w:eastAsia="宋体" w:cs="宋体"/>
          <w:strike w:val="0"/>
          <w:dstrike w:val="0"/>
          <w:color w:val="auto"/>
          <w:kern w:val="2"/>
          <w:sz w:val="24"/>
          <w:szCs w:val="24"/>
          <w:highlight w:val="none"/>
          <w:u w:val="single"/>
          <w:lang w:val="en-US" w:eastAsia="zh-CN" w:bidi="ar-SA"/>
        </w:rPr>
        <w:t xml:space="preserve">                    </w:t>
      </w:r>
    </w:p>
    <w:p w14:paraId="40204B5D">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账号：</w:t>
      </w:r>
      <w:r>
        <w:rPr>
          <w:rFonts w:hint="eastAsia" w:ascii="宋体" w:hAnsi="宋体" w:eastAsia="宋体" w:cs="宋体"/>
          <w:color w:val="auto"/>
          <w:kern w:val="2"/>
          <w:sz w:val="24"/>
          <w:szCs w:val="24"/>
          <w:highlight w:val="none"/>
          <w:u w:val="single"/>
          <w:lang w:val="en-US" w:eastAsia="zh-CN" w:bidi="ar-SA"/>
        </w:rPr>
        <w:t xml:space="preserve">                        </w:t>
      </w:r>
    </w:p>
    <w:p w14:paraId="04D3540C">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电话：</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电话：</w:t>
      </w:r>
      <w:r>
        <w:rPr>
          <w:rFonts w:hint="eastAsia" w:ascii="宋体" w:hAnsi="宋体" w:eastAsia="宋体" w:cs="宋体"/>
          <w:color w:val="auto"/>
          <w:kern w:val="2"/>
          <w:sz w:val="24"/>
          <w:szCs w:val="24"/>
          <w:highlight w:val="none"/>
          <w:u w:val="single"/>
          <w:lang w:val="en-US" w:eastAsia="zh-CN" w:bidi="ar-SA"/>
        </w:rPr>
        <w:t xml:space="preserve">                        </w:t>
      </w:r>
    </w:p>
    <w:p w14:paraId="7BC57D86">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传真：</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传真：</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7E9ED3E9">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电子邮箱：</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电子邮箱：</w:t>
      </w:r>
      <w:r>
        <w:rPr>
          <w:rFonts w:hint="eastAsia" w:ascii="宋体" w:hAnsi="宋体" w:eastAsia="宋体" w:cs="宋体"/>
          <w:color w:val="auto"/>
          <w:kern w:val="2"/>
          <w:sz w:val="24"/>
          <w:szCs w:val="24"/>
          <w:highlight w:val="none"/>
          <w:u w:val="single"/>
          <w:lang w:val="en-US" w:eastAsia="zh-CN" w:bidi="ar-SA"/>
        </w:rPr>
        <w:t xml:space="preserve">                   </w:t>
      </w:r>
    </w:p>
    <w:p w14:paraId="03EC4435">
      <w:pPr>
        <w:keepNext w:val="0"/>
        <w:keepLines w:val="0"/>
        <w:pageBreakBefore w:val="0"/>
        <w:widowControl w:val="0"/>
        <w:shd w:val="clear" w:color="auto" w:fill="auto"/>
        <w:kinsoku/>
        <w:wordWrap/>
        <w:overflowPunct/>
        <w:topLinePunct w:val="0"/>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p>
    <w:p w14:paraId="49871ABC">
      <w:pPr>
        <w:keepNext w:val="0"/>
        <w:keepLines w:val="0"/>
        <w:pageBreakBefore w:val="0"/>
        <w:widowControl w:val="0"/>
        <w:shd w:val="clear" w:color="auto" w:fill="auto"/>
        <w:kinsoku/>
        <w:wordWrap/>
        <w:overflowPunct/>
        <w:topLinePunct w:val="0"/>
        <w:bidi w:val="0"/>
        <w:adjustRightInd w:val="0"/>
        <w:spacing w:line="360" w:lineRule="auto"/>
        <w:jc w:val="center"/>
        <w:textAlignment w:val="baseline"/>
        <w:rPr>
          <w:rFonts w:hint="eastAsia" w:ascii="宋体" w:hAnsi="宋体" w:eastAsia="宋体" w:cs="宋体"/>
          <w:b/>
          <w:bCs/>
          <w:color w:val="auto"/>
          <w:kern w:val="44"/>
          <w:sz w:val="32"/>
          <w:szCs w:val="32"/>
          <w:highlight w:val="none"/>
          <w:lang w:val="en-US" w:eastAsia="zh-CN" w:bidi="ar-SA"/>
        </w:rPr>
      </w:pPr>
      <w:r>
        <w:rPr>
          <w:rFonts w:hint="eastAsia" w:ascii="宋体" w:hAnsi="宋体" w:eastAsia="宋体" w:cs="宋体"/>
          <w:b/>
          <w:bCs/>
          <w:color w:val="auto"/>
          <w:kern w:val="2"/>
          <w:sz w:val="24"/>
          <w:szCs w:val="24"/>
          <w:highlight w:val="none"/>
          <w:lang w:val="en-US" w:eastAsia="zh-CN" w:bidi="ar-SA"/>
        </w:rPr>
        <w:br w:type="page"/>
      </w:r>
      <w:r>
        <w:rPr>
          <w:rFonts w:hint="eastAsia" w:ascii="宋体" w:hAnsi="宋体" w:eastAsia="宋体" w:cs="宋体"/>
          <w:b/>
          <w:bCs/>
          <w:color w:val="auto"/>
          <w:kern w:val="44"/>
          <w:sz w:val="32"/>
          <w:szCs w:val="32"/>
          <w:highlight w:val="none"/>
          <w:lang w:val="en-US" w:eastAsia="zh-CN" w:bidi="ar-SA"/>
        </w:rPr>
        <w:t>第二部分  通用条件</w:t>
      </w:r>
    </w:p>
    <w:p w14:paraId="3AFEDD3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32"/>
          <w:szCs w:val="32"/>
          <w:highlight w:val="none"/>
        </w:rPr>
        <w:t>(</w:t>
      </w:r>
      <w:r>
        <w:rPr>
          <w:rFonts w:hint="eastAsia" w:ascii="宋体" w:hAnsi="宋体" w:cs="宋体"/>
          <w:color w:val="auto"/>
          <w:sz w:val="32"/>
          <w:szCs w:val="32"/>
          <w:highlight w:val="none"/>
          <w:lang w:val="en-US" w:eastAsia="zh-CN"/>
        </w:rPr>
        <w:t>略，</w:t>
      </w:r>
      <w:r>
        <w:rPr>
          <w:rFonts w:hint="eastAsia" w:ascii="宋体" w:hAnsi="宋体" w:eastAsia="宋体" w:cs="宋体"/>
          <w:color w:val="auto"/>
          <w:sz w:val="32"/>
          <w:szCs w:val="32"/>
          <w:highlight w:val="none"/>
        </w:rPr>
        <w:t>见GF-2012-0202)</w:t>
      </w:r>
      <w:r>
        <w:rPr>
          <w:rFonts w:hint="eastAsia" w:ascii="宋体" w:hAnsi="宋体" w:eastAsia="宋体" w:cs="宋体"/>
          <w:color w:val="auto"/>
          <w:sz w:val="24"/>
          <w:szCs w:val="24"/>
          <w:highlight w:val="none"/>
        </w:rPr>
        <w:br w:type="page"/>
      </w:r>
    </w:p>
    <w:p w14:paraId="31620A90">
      <w:pPr>
        <w:keepNext w:val="0"/>
        <w:keepLines w:val="0"/>
        <w:pageBreakBefore w:val="0"/>
        <w:widowControl w:val="0"/>
        <w:shd w:val="clear" w:color="auto" w:fill="auto"/>
        <w:kinsoku/>
        <w:wordWrap/>
        <w:overflowPunct/>
        <w:topLinePunct w:val="0"/>
        <w:bidi w:val="0"/>
        <w:adjustRightInd w:val="0"/>
        <w:spacing w:line="360" w:lineRule="auto"/>
        <w:jc w:val="center"/>
        <w:textAlignment w:val="baseline"/>
        <w:rPr>
          <w:rFonts w:hint="eastAsia" w:ascii="宋体" w:hAnsi="宋体" w:eastAsia="宋体" w:cs="宋体"/>
          <w:b/>
          <w:bCs/>
          <w:color w:val="auto"/>
          <w:kern w:val="44"/>
          <w:sz w:val="32"/>
          <w:szCs w:val="32"/>
          <w:highlight w:val="none"/>
          <w:lang w:val="en-US" w:eastAsia="zh-CN" w:bidi="ar-SA"/>
        </w:rPr>
      </w:pPr>
      <w:r>
        <w:rPr>
          <w:rFonts w:hint="eastAsia" w:ascii="宋体" w:hAnsi="宋体" w:eastAsia="宋体" w:cs="宋体"/>
          <w:b/>
          <w:bCs/>
          <w:color w:val="auto"/>
          <w:kern w:val="44"/>
          <w:sz w:val="32"/>
          <w:szCs w:val="32"/>
          <w:highlight w:val="none"/>
          <w:lang w:val="en-US" w:eastAsia="zh-CN" w:bidi="ar-SA"/>
        </w:rPr>
        <w:t>第三部分  专用条件</w:t>
      </w:r>
    </w:p>
    <w:p w14:paraId="07425F29">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 定义与解释</w:t>
      </w:r>
    </w:p>
    <w:p w14:paraId="553EC158">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  解释</w:t>
      </w:r>
    </w:p>
    <w:p w14:paraId="1BA9BD3A">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本合同文件除使用中文外，还可用</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1AA98866">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约定本合同文件的解释顺序为：</w:t>
      </w:r>
      <w:r>
        <w:rPr>
          <w:rFonts w:hint="eastAsia" w:ascii="宋体" w:hAnsi="宋体" w:eastAsia="宋体" w:cs="宋体"/>
          <w:i w:val="0"/>
          <w:iCs w:val="0"/>
          <w:color w:val="auto"/>
          <w:kern w:val="2"/>
          <w:sz w:val="24"/>
          <w:szCs w:val="24"/>
          <w:highlight w:val="none"/>
          <w:u w:val="single"/>
          <w:lang w:val="en-US" w:eastAsia="zh-CN" w:bidi="ar-SA"/>
        </w:rPr>
        <w:t xml:space="preserve"> </w:t>
      </w:r>
      <w:r>
        <w:rPr>
          <w:rFonts w:hint="eastAsia" w:ascii="宋体" w:hAnsi="宋体" w:eastAsia="宋体" w:cs="宋体"/>
          <w:color w:val="auto"/>
          <w:sz w:val="24"/>
          <w:szCs w:val="24"/>
          <w:highlight w:val="none"/>
          <w:u w:val="single"/>
        </w:rPr>
        <w:t>1）监理合同书(含补充协议)；2）</w:t>
      </w:r>
      <w:r>
        <w:rPr>
          <w:rFonts w:hint="eastAsia" w:ascii="宋体" w:hAnsi="宋体" w:eastAsia="宋体" w:cs="宋体"/>
          <w:color w:val="auto"/>
          <w:sz w:val="24"/>
          <w:szCs w:val="24"/>
          <w:highlight w:val="none"/>
          <w:u w:val="single"/>
          <w:lang w:val="en-US" w:eastAsia="zh-CN"/>
        </w:rPr>
        <w:t>中标</w:t>
      </w:r>
      <w:r>
        <w:rPr>
          <w:rFonts w:hint="eastAsia" w:ascii="宋体" w:hAnsi="宋体" w:eastAsia="宋体" w:cs="宋体"/>
          <w:color w:val="auto"/>
          <w:sz w:val="24"/>
          <w:szCs w:val="24"/>
          <w:highlight w:val="none"/>
          <w:u w:val="single"/>
        </w:rPr>
        <w:t>通知书；</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）专用</w:t>
      </w:r>
      <w:r>
        <w:rPr>
          <w:rFonts w:hint="eastAsia" w:ascii="宋体" w:hAnsi="宋体" w:eastAsia="宋体" w:cs="宋体"/>
          <w:color w:val="auto"/>
          <w:sz w:val="24"/>
          <w:szCs w:val="24"/>
          <w:highlight w:val="none"/>
          <w:u w:val="single"/>
          <w:lang w:val="en-US" w:eastAsia="zh-CN"/>
        </w:rPr>
        <w:t>条件</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通用条件</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投标文件</w:t>
      </w:r>
      <w:r>
        <w:rPr>
          <w:rFonts w:hint="eastAsia" w:ascii="宋体" w:hAnsi="宋体" w:eastAsia="宋体" w:cs="宋体"/>
          <w:color w:val="auto"/>
          <w:sz w:val="24"/>
          <w:szCs w:val="24"/>
          <w:highlight w:val="none"/>
          <w:u w:val="single"/>
        </w:rPr>
        <w:t>；6）履行本合同的相关补充协议（含会议纪要、工程变更、签证、洽商等文件）；（7）</w:t>
      </w:r>
      <w:r>
        <w:rPr>
          <w:rFonts w:hint="eastAsia" w:ascii="宋体" w:hAnsi="宋体" w:eastAsia="宋体" w:cs="宋体"/>
          <w:color w:val="auto"/>
          <w:sz w:val="24"/>
          <w:szCs w:val="24"/>
          <w:highlight w:val="none"/>
          <w:u w:val="single"/>
          <w:lang w:val="en-US" w:eastAsia="zh-CN"/>
        </w:rPr>
        <w:t>招标</w:t>
      </w:r>
      <w:r>
        <w:rPr>
          <w:rFonts w:hint="eastAsia" w:ascii="宋体" w:hAnsi="宋体" w:eastAsia="宋体" w:cs="宋体"/>
          <w:color w:val="auto"/>
          <w:sz w:val="24"/>
          <w:szCs w:val="24"/>
          <w:highlight w:val="none"/>
          <w:u w:val="single"/>
        </w:rPr>
        <w:t>文件；（8）标准、规范及有关技术文件；（9）图纸</w:t>
      </w:r>
      <w:r>
        <w:rPr>
          <w:rFonts w:hint="eastAsia" w:ascii="宋体" w:hAnsi="宋体" w:eastAsia="宋体" w:cs="宋体"/>
          <w:i w:val="0"/>
          <w:iCs w:val="0"/>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bookmarkStart w:id="3" w:name="_GoBack"/>
      <w:bookmarkEnd w:id="3"/>
    </w:p>
    <w:p w14:paraId="5372AA01">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2"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2. 监理人义务</w:t>
      </w:r>
    </w:p>
    <w:p w14:paraId="26BA6893">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 监理的范围和内容</w:t>
      </w:r>
    </w:p>
    <w:p w14:paraId="0F035F2D">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both"/>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2.1.1 监理范围包括：</w:t>
      </w:r>
      <w:r>
        <w:rPr>
          <w:rFonts w:hint="eastAsia" w:ascii="宋体" w:hAnsi="宋体" w:eastAsia="宋体" w:cs="宋体"/>
          <w:color w:val="auto"/>
          <w:kern w:val="2"/>
          <w:sz w:val="24"/>
          <w:szCs w:val="24"/>
          <w:highlight w:val="none"/>
          <w:u w:val="single"/>
          <w:lang w:val="en-US" w:eastAsia="zh-CN" w:bidi="ar-SA"/>
        </w:rPr>
        <w:t>本项目施工监理服务（含缺陷责任期、保修期），主要监理内容：建设总用地面积约16.04亩，拟建建筑面积3106.38㎡，规划总建筑面积3340.7㎡（包含地下建筑面积），设置停车位42辆(包含12辆充电车位，6辆殡葬车辆停车位)。主要建设接待区、业务区、守灵区、消防水池、室外工程提升、基础设施拆除工程，并配套购置相关设备设施。</w:t>
      </w:r>
    </w:p>
    <w:p w14:paraId="20433B63">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具体包括：</w:t>
      </w:r>
      <w:r>
        <w:rPr>
          <w:rFonts w:hint="eastAsia" w:ascii="宋体" w:hAnsi="宋体" w:eastAsia="宋体" w:cs="宋体"/>
          <w:color w:val="auto"/>
          <w:kern w:val="2"/>
          <w:sz w:val="24"/>
          <w:szCs w:val="24"/>
          <w:highlight w:val="none"/>
          <w:u w:val="single"/>
          <w:lang w:val="en-US" w:eastAsia="zh-CN" w:bidi="ar-SA"/>
        </w:rPr>
        <w:t xml:space="preserve"> 包括但不限于土建工程、配套设施工程</w:t>
      </w:r>
      <w:r>
        <w:rPr>
          <w:rFonts w:hint="eastAsia" w:ascii="宋体" w:hAnsi="宋体" w:eastAsia="宋体" w:cs="宋体"/>
          <w:color w:val="auto"/>
          <w:sz w:val="24"/>
          <w:szCs w:val="24"/>
          <w:highlight w:val="none"/>
          <w:u w:val="single"/>
          <w:lang w:val="en-US" w:eastAsia="zh-CN"/>
        </w:rPr>
        <w:t>以及涉及到</w:t>
      </w:r>
      <w:r>
        <w:rPr>
          <w:rFonts w:hint="eastAsia" w:ascii="宋体" w:hAnsi="宋体" w:eastAsia="宋体" w:cs="宋体"/>
          <w:color w:val="auto"/>
          <w:sz w:val="24"/>
          <w:szCs w:val="24"/>
          <w:highlight w:val="none"/>
          <w:u w:val="single"/>
        </w:rPr>
        <w:t>施工准备阶段、施工阶段、工程收尾阶段（包括但不限于竣工验收及竣工验收资料移交档案、整改、工程移交及实物移交、工程结算、竣工备案等）及缺陷责任期阶段</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工程质量保修阶段的质量、进度、费用控制、安全生产监督管理、合同、信息等方面的协调管理，保修阶段相关工作。监理人还须按委托人的要求提前进场参与开工前期的准备和筹划工作，协助委托人制定各参建方职责及有关事务性工作；配合后期审计工作等</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3A1D30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2.1.2 监理工作内容还包括：</w:t>
      </w:r>
    </w:p>
    <w:p w14:paraId="7059A95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(1)技术及图纸</w:t>
      </w:r>
    </w:p>
    <w:p w14:paraId="6CE655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①、熟悉设计资料与施工合同文件；</w:t>
      </w:r>
    </w:p>
    <w:p w14:paraId="2B7BC8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②、协助委托人组织设计单位、承包人及有关单位在开工前对设计图纸的会审、技术交底工作；</w:t>
      </w:r>
    </w:p>
    <w:p w14:paraId="3BD850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③、组织有关单位（包括设计单位，承包人等）进行技术交底。对交底中澄清的问题做好记录，并整理成纪要报委托人备案；</w:t>
      </w:r>
    </w:p>
    <w:p w14:paraId="712B77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④、审阅并签发设计图纸和设计文件，解释承包人对图纸提出的疑问；</w:t>
      </w:r>
    </w:p>
    <w:p w14:paraId="4D632A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⑤、参加由委托人主持的重大技术问题的讨论；</w:t>
      </w:r>
    </w:p>
    <w:p w14:paraId="55BE65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⑥、对于工程实施过程中发生的设计变更，应从工程质量、进度、投资等三方面进行评估，提出意见并报委托人决策；</w:t>
      </w:r>
    </w:p>
    <w:p w14:paraId="13637B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⑦、审查并批准承包人提交的施工组织设计，施工技术方案，技术计划，临建工程设计等；</w:t>
      </w:r>
    </w:p>
    <w:p w14:paraId="04A9F7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⑧、会同设计单位对有关工程图纸的变更做出解释和说明，发出图纸变更令，在现场协助设计方代表解决施工期间出现的设计、技术问题。</w:t>
      </w:r>
    </w:p>
    <w:p w14:paraId="588F7A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(2)进度控制</w:t>
      </w:r>
    </w:p>
    <w:p w14:paraId="091953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①、督促委托人按合同规定落实必须提供的施工条件，组织向承包人移交施工场地；检查承包人的开工准备情况；按照合同规定及授权，发布工程开工令；</w:t>
      </w:r>
    </w:p>
    <w:p w14:paraId="1B4A6F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②、依据合同中确定的工程控制性进度计划，审查并批准承包人提交的施工总进度计划、资源配置，检查其实施情况，督促承包人实现合同工期目标；</w:t>
      </w:r>
    </w:p>
    <w:p w14:paraId="0DF3F3B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③、若发生由于承包人的原因使工期延误时应督促承包人提出补救措施。如属于委托人的原因引起工期延误，应向委托人提出报告，并提出补救措施的意见供委托人决策；</w:t>
      </w:r>
    </w:p>
    <w:p w14:paraId="5A0BE8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审查和批准承包人提出的施工方案和施工进度计划，负责控制进度，跟踪检查，记录计划的实施情况。当发生实际进度与计划进度有实质性偏差时，及时向承包人发出书面指示，向委托人提出“进度分析报告”；</w:t>
      </w:r>
    </w:p>
    <w:p w14:paraId="3486C8B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⑤、主持监理合同授权范围内的有关协调工作，编写工程进度协调会议纪要，提出监理对工程进度的意见；</w:t>
      </w:r>
    </w:p>
    <w:p w14:paraId="3757CA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⑥、在收到承包人进度报告后，7天内提出审查意见，并将审查意见及承包人的进度报告报委托人备案。</w:t>
      </w:r>
    </w:p>
    <w:p w14:paraId="5F2477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(3)质量控制</w:t>
      </w:r>
    </w:p>
    <w:p w14:paraId="0A816E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①、审查并批准承包人提交的施工组织设计，并将审查意见报委托人备案；</w:t>
      </w:r>
    </w:p>
    <w:p w14:paraId="054E12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核查承包人关键技术工种、岗位进场人员的资质，包括技术水平、工作能力、工作态度等，核查承包人的施工机械设备的数量、质量、种类、能力及状况，对不符合合同规定要求的人员和设备，有权令其更换或添置；</w:t>
      </w:r>
    </w:p>
    <w:p w14:paraId="4DB581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③、审批承包人的技术规范及施工规程等质量标准文件；</w:t>
      </w:r>
    </w:p>
    <w:p w14:paraId="6DCA08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审查承包人的质量控制体系和措施，检查质量文件落实情况。依据施工合同规定，对施工前的准备工作进行检查，对施工工序、资源投入进行监督。督促承包人严格执行合同中的技术规范，施工要求和图纸上的规定，确保质量满足合同要求；</w:t>
      </w:r>
    </w:p>
    <w:p w14:paraId="5612FE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审查、批准由承包人提交的质量检查要求和规定，依据合同与规范制定各类施工质量检查的补充规定。及时检查、抽查工程质量，特别是覆盖的基础工程和隐蔽工程；对工程质量进行签证和评定，严格控制工程质量。主要内容包括：</w:t>
      </w:r>
    </w:p>
    <w:p w14:paraId="6A1880D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a.审批承包人在施工过程中各工序的质量自检报告，按施工合同的要求进行质量控制和评定；</w:t>
      </w:r>
    </w:p>
    <w:p w14:paraId="13F3BF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b.对承包人试验室的各种试验仪器及试验程序、成果进行全面检查；</w:t>
      </w:r>
    </w:p>
    <w:p w14:paraId="53EA67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c.承包人未按设计图纸、技术规范、操作规程进行施工时，依据合同应责令其停工、返工，并报告委托人；</w:t>
      </w:r>
    </w:p>
    <w:p w14:paraId="626694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d.对未签证或验收不合格的工程，通知承包人限期返工，重新验收合格，方可进入下一道工序，或交付使用，并及时报告委托人；</w:t>
      </w:r>
    </w:p>
    <w:p w14:paraId="232C9A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e.审查用于永久工程的各种工程材料、构件的合格证，材质化验单，严禁使用不合格产品，对不合格产品须监督其退场；</w:t>
      </w:r>
    </w:p>
    <w:p w14:paraId="238C45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f.制定现场工程监理工作制度，在施工现场对工程质量、安全、施工活动等进行跟班检查，关键工序实行旁站监理，并做好现场旁站记录和监理日记，填写大事记。定期召开监理例会，及时向委托人通报监理情况及工程的有关事宜；</w:t>
      </w:r>
    </w:p>
    <w:p w14:paraId="3C876B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g.监督检查承包人的施工测量工作；</w:t>
      </w:r>
    </w:p>
    <w:p w14:paraId="7D2C77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h.对已完成的施工工序，提出明确的评价意见。重大质量问题的处理方案报委托人确认后执行；</w:t>
      </w:r>
    </w:p>
    <w:p w14:paraId="71A3EF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i.根据国家有关验收规程和合同规定，组织隐蔽工程验收和各工序、分项、分部工程及各单项工程验收。审查承包人提交的阶段验收和竣工验收有关资料，参加阶段验收和竣工验收，审查《工程竣工报告书》，提出整改意见，编写《工程质量评估报告》及整理监理资料；依据合同签发竣工证书，颁发保修合格证书；参与工程移交，同时做好各种资料的收集、整理、归档工作，协助委托人办理竣工验收及备案手续。</w:t>
      </w:r>
    </w:p>
    <w:p w14:paraId="67C23D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⑥、监督、检查承包人安全施工、文明施工。</w:t>
      </w:r>
    </w:p>
    <w:p w14:paraId="7332E9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(4)投资控制</w:t>
      </w:r>
    </w:p>
    <w:p w14:paraId="5A14B5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①、审查承包人提交的计量申请，签发工程计量认证书。审查承包人提交的支付申请，按施工合同规定，签发支付证书，工程结束时，核实最终工程量，审查承包人的最终结算申请，报委托人批准；</w:t>
      </w:r>
    </w:p>
    <w:p w14:paraId="27BC0A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②、按照合同规定及委托人授权，确定工程变更项目，分析并与各方协商确定变更的工期与费用，发布变更指令；</w:t>
      </w:r>
    </w:p>
    <w:p w14:paraId="301B84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③、工程承包合同约定的工程价格范围内，工程款支付的审核和签认，未经总监理工程师签字确认，委托人不支付工程款；</w:t>
      </w:r>
    </w:p>
    <w:p w14:paraId="3EBEA6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④、办理委托人决定更改、增减工程内容、数量事宜，审理承包人申报的有关工程更改的请求，提出处理意见，并报委托人签认；所有变更必须经委托人书面同意后方能实施。</w:t>
      </w:r>
    </w:p>
    <w:p w14:paraId="2E0B6E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(5)安全生产管理监督</w:t>
      </w:r>
    </w:p>
    <w:p w14:paraId="35C386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①、审查施工单位安全生产管理体系；</w:t>
      </w:r>
    </w:p>
    <w:p w14:paraId="1DCD3E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②、审查施工单位安全生产领导组织机构；</w:t>
      </w:r>
    </w:p>
    <w:p w14:paraId="7F986F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③、审查施工单位安全生产管理措施；</w:t>
      </w:r>
    </w:p>
    <w:p w14:paraId="188741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④、检查安全生产管理措施及各种规章制度的执行和落实情况；</w:t>
      </w:r>
    </w:p>
    <w:p w14:paraId="111486A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⑤、组织有关单位定期进行安全联合检查；</w:t>
      </w:r>
    </w:p>
    <w:p w14:paraId="2B61DF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⑥、发现安全事故或安全隐患问题及时会同有关各方进行解决；</w:t>
      </w:r>
    </w:p>
    <w:p w14:paraId="7A3239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⑦、协助处理工程出现的质量事故和安全事故，参与重大质量、安全事故分析和处理。对突然发生的事故，可决定作出紧急措施，并及时向委托人报告；</w:t>
      </w:r>
    </w:p>
    <w:p w14:paraId="76937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⑧、征得委托人同意，下达工程暂停令、复工令，但应当事先向委托人报告。如在紧急情况下未能事先报告时，则应在24小时内向委托人作出书面报告。</w:t>
      </w:r>
    </w:p>
    <w:p w14:paraId="5CF186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(6)合同管理</w:t>
      </w:r>
    </w:p>
    <w:p w14:paraId="131AF3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①、协助委托人核实承包人的资质及签订合同；</w:t>
      </w:r>
    </w:p>
    <w:p w14:paraId="72E842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②、全面管理工程合同的执行，对不能满意地履行合同的任何成员提出警告直至逐出工地；</w:t>
      </w:r>
    </w:p>
    <w:p w14:paraId="347E71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③、分析、研究评价承包人可能提出的索赔要求，参与研究并协助做出对索赔的处理意见和决定；</w:t>
      </w:r>
    </w:p>
    <w:p w14:paraId="5BF1C2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④、参与工程合同争议、仲裁等有关问题的处理,提出必要的证据资料,意见和分析报告。</w:t>
      </w:r>
    </w:p>
    <w:p w14:paraId="7AC33F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(7)信息管理及协调工作</w:t>
      </w:r>
    </w:p>
    <w:p w14:paraId="20367D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①、核实并掌握工地的各种情况，详细记录工地与工程有关的所有信息，定期向委托人报告工地情况，重大或重要事项随时向委托人报告；</w:t>
      </w:r>
    </w:p>
    <w:p w14:paraId="49ED6E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②、按时提交报告，包括进度分析、质量控制，投资分析等报告，以及各类专题报告，总结和最终监理报告；</w:t>
      </w:r>
    </w:p>
    <w:p w14:paraId="024FE2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③、及时向委托人抄送监理单位和承包人之间的来往文函；</w:t>
      </w:r>
    </w:p>
    <w:p w14:paraId="45C120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④、做好有关工程资料和文件的汇总管理工作，随时配合委托人完成工程档案验收相关工作及政府有关质检部门的督促检查；</w:t>
      </w:r>
    </w:p>
    <w:p w14:paraId="7FAFD2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⑤、督促承包人提交完整的工程竣工验收资料；</w:t>
      </w:r>
    </w:p>
    <w:p w14:paraId="08995BD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⑥、协调参建单位之间的关系，对工程设计、工程承包合同出现的纠纷和索赔事项提出建议或意见；</w:t>
      </w:r>
    </w:p>
    <w:p w14:paraId="3B83F4C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(8)施工责任缺陷期应配合的监理工作</w:t>
      </w:r>
    </w:p>
    <w:p w14:paraId="354707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①、检查和记录工程质量缺陷，对缺陷原因进行调查分析并确定责任归属；</w:t>
      </w:r>
    </w:p>
    <w:p w14:paraId="445CE0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②、审核修复方案，监督修复过程并验收，审核修复费用；</w:t>
      </w:r>
    </w:p>
    <w:p w14:paraId="648516CC">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sz w:val="24"/>
          <w:szCs w:val="24"/>
          <w:highlight w:val="none"/>
          <w:u w:val="single"/>
        </w:rPr>
        <w:t>③、完成委托人交付的其他工作</w:t>
      </w:r>
      <w:r>
        <w:rPr>
          <w:rFonts w:hint="eastAsia" w:ascii="宋体" w:hAnsi="宋体" w:eastAsia="宋体" w:cs="宋体"/>
          <w:color w:val="auto"/>
          <w:kern w:val="2"/>
          <w:sz w:val="24"/>
          <w:szCs w:val="24"/>
          <w:highlight w:val="none"/>
          <w:u w:val="none"/>
          <w:lang w:val="en-US" w:eastAsia="zh-CN" w:bidi="ar-SA"/>
        </w:rPr>
        <w:t>。</w:t>
      </w:r>
    </w:p>
    <w:p w14:paraId="359B95F4">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2.2 监理与相关服务依据</w:t>
      </w:r>
    </w:p>
    <w:p w14:paraId="61D10AD0">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2.2.1监理依据包括：</w:t>
      </w:r>
      <w:r>
        <w:rPr>
          <w:rFonts w:hint="eastAsia" w:ascii="宋体" w:hAnsi="宋体" w:eastAsia="宋体" w:cs="宋体"/>
          <w:color w:val="auto"/>
          <w:kern w:val="2"/>
          <w:sz w:val="24"/>
          <w:szCs w:val="24"/>
          <w:highlight w:val="none"/>
          <w:u w:val="single"/>
          <w:lang w:val="en-US" w:eastAsia="zh-CN" w:bidi="ar-SA"/>
        </w:rPr>
        <w:t xml:space="preserve"> 1）国家工程建设的法律、法规、条款及有关政策规定，主管部门批准的建设计划、规划、设计文件。2）委托人与勘察、设计、承建单位签订的合同或协议。3）经批准的施工图纸及说明，经图纸会审确定的修改设计通知书。4）国家和地方现行的建筑工程质量评定标准、设计及施工验收规范。5）当地现场和预算定额、取费标准和有关建设管理办法。6）当地建设行政主管部门的有关法规和通知等。7）委托人发出的指令及与本工程有关的会议纪要和文件 </w:t>
      </w:r>
      <w:r>
        <w:rPr>
          <w:rFonts w:hint="eastAsia" w:ascii="宋体" w:hAnsi="宋体" w:eastAsia="宋体" w:cs="宋体"/>
          <w:color w:val="auto"/>
          <w:kern w:val="2"/>
          <w:sz w:val="24"/>
          <w:szCs w:val="24"/>
          <w:highlight w:val="none"/>
          <w:lang w:val="en-US" w:eastAsia="zh-CN" w:bidi="ar-SA"/>
        </w:rPr>
        <w:t>。</w:t>
      </w:r>
    </w:p>
    <w:p w14:paraId="7ED57171">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2.2.2 相关服务依据包括：</w:t>
      </w:r>
      <w:r>
        <w:rPr>
          <w:rFonts w:hint="eastAsia" w:ascii="宋体" w:hAnsi="宋体" w:eastAsia="宋体" w:cs="宋体"/>
          <w:color w:val="auto"/>
          <w:kern w:val="2"/>
          <w:sz w:val="24"/>
          <w:szCs w:val="24"/>
          <w:highlight w:val="none"/>
          <w:u w:val="single"/>
          <w:lang w:val="en-US" w:eastAsia="zh-CN" w:bidi="ar-SA"/>
        </w:rPr>
        <w:t xml:space="preserve"> （1）相应的法律、行政法规、部门规章、委托监理工程所在地的地方性法规和政府规章；（2）委托监理工程所在地的标准和规范；（3）委托监理工程设计图纸等技术性文件；（4）本合同以及以后所签订补充或变更协议；（5）建设单位与第三方签订的与监理服务相关的其他合同；（6）委托监理工程实施过程中有关的来往函件。</w:t>
      </w:r>
    </w:p>
    <w:p w14:paraId="788ECB3D">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 项目监理机构和人员</w:t>
      </w:r>
    </w:p>
    <w:p w14:paraId="10B9BF22">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2.3.4 更换监理人员的其他情形：</w:t>
      </w:r>
      <w:r>
        <w:rPr>
          <w:rFonts w:hint="eastAsia" w:ascii="宋体" w:hAnsi="宋体" w:eastAsia="宋体" w:cs="宋体"/>
          <w:color w:val="auto"/>
          <w:kern w:val="2"/>
          <w:sz w:val="24"/>
          <w:szCs w:val="24"/>
          <w:highlight w:val="none"/>
          <w:u w:val="single"/>
          <w:lang w:val="en-US" w:eastAsia="zh-CN" w:bidi="ar-SA"/>
        </w:rPr>
        <w:t xml:space="preserve"> 经委托人日常考察不合格或不能满足监理工作要求 </w:t>
      </w:r>
      <w:r>
        <w:rPr>
          <w:rFonts w:hint="eastAsia" w:ascii="宋体" w:hAnsi="宋体" w:eastAsia="宋体" w:cs="宋体"/>
          <w:color w:val="auto"/>
          <w:kern w:val="2"/>
          <w:sz w:val="24"/>
          <w:szCs w:val="24"/>
          <w:highlight w:val="none"/>
          <w:lang w:val="en-US" w:eastAsia="zh-CN" w:bidi="ar-SA"/>
        </w:rPr>
        <w:t>。</w:t>
      </w:r>
    </w:p>
    <w:p w14:paraId="4817F7C2">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2.4 履行职责</w:t>
      </w:r>
    </w:p>
    <w:p w14:paraId="3A83BB34">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2.4.3 对监理人的授权范围：</w:t>
      </w:r>
      <w:r>
        <w:rPr>
          <w:rFonts w:hint="eastAsia" w:ascii="宋体" w:hAnsi="宋体" w:eastAsia="宋体" w:cs="宋体"/>
          <w:color w:val="auto"/>
          <w:kern w:val="2"/>
          <w:sz w:val="24"/>
          <w:szCs w:val="24"/>
          <w:highlight w:val="none"/>
          <w:u w:val="single"/>
          <w:lang w:val="en-US" w:eastAsia="zh-CN" w:bidi="ar-SA"/>
        </w:rPr>
        <w:t xml:space="preserve"> 1）审查承包人提交的施工组织设计、安全技术措施及专项施工方案等各类文件；2）核查并签发施工图纸；3）签发合同项目开工令、暂停施工指示，但应事先征得委托人同意；签发进场通知、复工通知；4）审核和签发工程计量、付款凭证；5）核查承包人现场工作人员数量及相应岗位资格，有权要求承包人撤换不称职的现场工作人员；6）发现承包人使用的施工设备影响工程质量或进度时，有权要求承包人增加或更换施工设备；7）核验建筑材料、建筑构配件和设备质量，检查、检验并确认工程的施工质量；8）检查施工安全生产情况。发现存在质量、安全事故隐患，或发生质量、安全事故，应按有关规定及时采取相应的监理措施；9）监督、检查工程施工进度；10）及时做好工程施工过程各种监理信息的收集、整理和归档，并保证现场记录、试验、检验、检查等资料的完整和真实。 </w:t>
      </w:r>
      <w:r>
        <w:rPr>
          <w:rFonts w:hint="eastAsia" w:ascii="宋体" w:hAnsi="宋体" w:eastAsia="宋体" w:cs="宋体"/>
          <w:color w:val="auto"/>
          <w:kern w:val="2"/>
          <w:sz w:val="24"/>
          <w:szCs w:val="24"/>
          <w:highlight w:val="none"/>
          <w:u w:val="none"/>
          <w:lang w:val="en-US" w:eastAsia="zh-CN" w:bidi="ar-SA"/>
        </w:rPr>
        <w:t>。</w:t>
      </w:r>
    </w:p>
    <w:p w14:paraId="1F98F3C2">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在涉及工程延期</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lang w:val="en-US" w:eastAsia="zh-CN" w:bidi="ar-SA"/>
        </w:rPr>
        <w:t>天内和（或）金额</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lang w:val="en-US" w:eastAsia="zh-CN" w:bidi="ar-SA"/>
        </w:rPr>
        <w:t>万元内的变更，监理人不需请示委托人即可向承包人发布变更通知。</w:t>
      </w:r>
    </w:p>
    <w:p w14:paraId="17F626A0">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2.4.4 监理人有权要求承包人调换其人员的限制条件：</w:t>
      </w:r>
      <w:r>
        <w:rPr>
          <w:rFonts w:hint="eastAsia" w:ascii="宋体" w:hAnsi="宋体" w:eastAsia="宋体" w:cs="宋体"/>
          <w:color w:val="auto"/>
          <w:kern w:val="2"/>
          <w:sz w:val="24"/>
          <w:szCs w:val="24"/>
          <w:highlight w:val="none"/>
          <w:u w:val="single"/>
          <w:lang w:val="en-US" w:eastAsia="zh-CN" w:bidi="ar-SA"/>
        </w:rPr>
        <w:t xml:space="preserve"> 经委托人同意后 </w:t>
      </w:r>
      <w:r>
        <w:rPr>
          <w:rFonts w:hint="eastAsia" w:ascii="宋体" w:hAnsi="宋体" w:eastAsia="宋体" w:cs="宋体"/>
          <w:color w:val="auto"/>
          <w:kern w:val="2"/>
          <w:sz w:val="24"/>
          <w:szCs w:val="24"/>
          <w:highlight w:val="none"/>
          <w:lang w:val="en-US" w:eastAsia="zh-CN" w:bidi="ar-SA"/>
        </w:rPr>
        <w:t>。</w:t>
      </w:r>
    </w:p>
    <w:p w14:paraId="0876F2B9">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2.5 提交报告</w:t>
      </w:r>
    </w:p>
    <w:p w14:paraId="2C944AEE">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监理人应提交报告的种类(包括监理规划、监理月报及约定的专项报告)、时间和份数：</w:t>
      </w:r>
      <w:r>
        <w:rPr>
          <w:rFonts w:hint="eastAsia" w:ascii="宋体" w:hAnsi="宋体" w:eastAsia="宋体" w:cs="宋体"/>
          <w:color w:val="auto"/>
          <w:kern w:val="2"/>
          <w:sz w:val="24"/>
          <w:szCs w:val="24"/>
          <w:highlight w:val="none"/>
          <w:u w:val="single"/>
          <w:lang w:val="en-US" w:eastAsia="zh-CN" w:bidi="ar-SA"/>
        </w:rPr>
        <w:t xml:space="preserve"> 监理人进场前，提供符合委托人要求的监理规划大纲，监理过程中应定期报送监理月报和阶段性工作总结、重大事件报告（报送内容和方式另定） </w:t>
      </w:r>
    </w:p>
    <w:p w14:paraId="453A781D">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监理规划：</w:t>
      </w:r>
      <w:r>
        <w:rPr>
          <w:rFonts w:hint="eastAsia" w:ascii="宋体" w:hAnsi="宋体" w:eastAsia="宋体" w:cs="宋体"/>
          <w:color w:val="auto"/>
          <w:kern w:val="2"/>
          <w:sz w:val="24"/>
          <w:szCs w:val="24"/>
          <w:highlight w:val="none"/>
          <w:u w:val="single"/>
          <w:lang w:val="en-US" w:eastAsia="zh-CN" w:bidi="ar-SA"/>
        </w:rPr>
        <w:t>合同签订后7日内，提交3份</w:t>
      </w:r>
      <w:r>
        <w:rPr>
          <w:rFonts w:hint="eastAsia" w:ascii="宋体" w:hAnsi="宋体" w:eastAsia="宋体" w:cs="宋体"/>
          <w:color w:val="auto"/>
          <w:kern w:val="2"/>
          <w:sz w:val="24"/>
          <w:szCs w:val="24"/>
          <w:highlight w:val="none"/>
          <w:lang w:val="en-US" w:eastAsia="zh-CN" w:bidi="ar-SA"/>
        </w:rPr>
        <w:t>；</w:t>
      </w:r>
    </w:p>
    <w:p w14:paraId="3C4D6CAC">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监理实施细则：</w:t>
      </w:r>
      <w:r>
        <w:rPr>
          <w:rFonts w:hint="eastAsia" w:ascii="宋体" w:hAnsi="宋体" w:eastAsia="宋体" w:cs="宋体"/>
          <w:color w:val="auto"/>
          <w:kern w:val="2"/>
          <w:sz w:val="24"/>
          <w:szCs w:val="24"/>
          <w:highlight w:val="none"/>
          <w:u w:val="single"/>
          <w:lang w:val="en-US" w:eastAsia="zh-CN" w:bidi="ar-SA"/>
        </w:rPr>
        <w:t>实施性施工组织审批后 5 日内，提交3份</w:t>
      </w:r>
      <w:r>
        <w:rPr>
          <w:rFonts w:hint="eastAsia" w:ascii="宋体" w:hAnsi="宋体" w:eastAsia="宋体" w:cs="宋体"/>
          <w:color w:val="auto"/>
          <w:kern w:val="2"/>
          <w:sz w:val="24"/>
          <w:szCs w:val="24"/>
          <w:highlight w:val="none"/>
          <w:lang w:val="en-US" w:eastAsia="zh-CN" w:bidi="ar-SA"/>
        </w:rPr>
        <w:t>；</w:t>
      </w:r>
    </w:p>
    <w:p w14:paraId="2B315657">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监理月报：</w:t>
      </w:r>
      <w:r>
        <w:rPr>
          <w:rFonts w:hint="eastAsia" w:ascii="宋体" w:hAnsi="宋体" w:eastAsia="宋体" w:cs="宋体"/>
          <w:color w:val="auto"/>
          <w:kern w:val="2"/>
          <w:sz w:val="24"/>
          <w:szCs w:val="24"/>
          <w:highlight w:val="none"/>
          <w:u w:val="single"/>
          <w:lang w:val="en-US" w:eastAsia="zh-CN" w:bidi="ar-SA"/>
        </w:rPr>
        <w:t>施工月最后一个工作日，提交3份</w:t>
      </w:r>
      <w:r>
        <w:rPr>
          <w:rFonts w:hint="eastAsia" w:ascii="宋体" w:hAnsi="宋体" w:eastAsia="宋体" w:cs="宋体"/>
          <w:color w:val="auto"/>
          <w:kern w:val="2"/>
          <w:sz w:val="24"/>
          <w:szCs w:val="24"/>
          <w:highlight w:val="none"/>
          <w:lang w:val="en-US" w:eastAsia="zh-CN" w:bidi="ar-SA"/>
        </w:rPr>
        <w:t>；</w:t>
      </w:r>
    </w:p>
    <w:p w14:paraId="1BF06CEC">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监理会议纪要（经参会各方会签）：</w:t>
      </w:r>
      <w:r>
        <w:rPr>
          <w:rFonts w:hint="eastAsia" w:ascii="宋体" w:hAnsi="宋体" w:eastAsia="宋体" w:cs="宋体"/>
          <w:color w:val="auto"/>
          <w:kern w:val="2"/>
          <w:sz w:val="24"/>
          <w:szCs w:val="24"/>
          <w:highlight w:val="none"/>
          <w:u w:val="single"/>
          <w:lang w:val="en-US" w:eastAsia="zh-CN" w:bidi="ar-SA"/>
        </w:rPr>
        <w:t>会议结束后第二个工作日，提交3份</w:t>
      </w:r>
      <w:r>
        <w:rPr>
          <w:rFonts w:hint="eastAsia" w:ascii="宋体" w:hAnsi="宋体" w:eastAsia="宋体" w:cs="宋体"/>
          <w:color w:val="auto"/>
          <w:kern w:val="2"/>
          <w:sz w:val="24"/>
          <w:szCs w:val="24"/>
          <w:highlight w:val="none"/>
          <w:lang w:val="en-US" w:eastAsia="zh-CN" w:bidi="ar-SA"/>
        </w:rPr>
        <w:t>；</w:t>
      </w:r>
    </w:p>
    <w:p w14:paraId="1324B8A5">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其余各项报告种类、时间和份数：</w:t>
      </w:r>
    </w:p>
    <w:p w14:paraId="29D26893">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1）监理日志：</w:t>
      </w:r>
      <w:r>
        <w:rPr>
          <w:rFonts w:hint="eastAsia" w:ascii="宋体" w:hAnsi="宋体" w:eastAsia="宋体" w:cs="宋体"/>
          <w:color w:val="auto"/>
          <w:kern w:val="2"/>
          <w:sz w:val="24"/>
          <w:szCs w:val="24"/>
          <w:highlight w:val="none"/>
          <w:u w:val="single"/>
          <w:lang w:val="en-US" w:eastAsia="zh-CN" w:bidi="ar-SA"/>
        </w:rPr>
        <w:t>工程竣工验收后14日内，提交3份</w:t>
      </w:r>
      <w:r>
        <w:rPr>
          <w:rFonts w:hint="eastAsia" w:ascii="宋体" w:hAnsi="宋体" w:eastAsia="宋体" w:cs="宋体"/>
          <w:color w:val="auto"/>
          <w:kern w:val="2"/>
          <w:sz w:val="24"/>
          <w:szCs w:val="24"/>
          <w:highlight w:val="none"/>
          <w:lang w:val="en-US" w:eastAsia="zh-CN" w:bidi="ar-SA"/>
        </w:rPr>
        <w:t>；</w:t>
      </w:r>
    </w:p>
    <w:p w14:paraId="694F0485">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2）施工资料完整性核查报告：</w:t>
      </w:r>
      <w:r>
        <w:rPr>
          <w:rFonts w:hint="eastAsia" w:ascii="宋体" w:hAnsi="宋体" w:eastAsia="宋体" w:cs="宋体"/>
          <w:color w:val="auto"/>
          <w:kern w:val="2"/>
          <w:sz w:val="24"/>
          <w:szCs w:val="24"/>
          <w:highlight w:val="none"/>
          <w:u w:val="single"/>
          <w:lang w:val="en-US" w:eastAsia="zh-CN" w:bidi="ar-SA"/>
        </w:rPr>
        <w:t>工程竣工验收后14日内，提交3份</w:t>
      </w:r>
      <w:r>
        <w:rPr>
          <w:rFonts w:hint="eastAsia" w:ascii="宋体" w:hAnsi="宋体" w:eastAsia="宋体" w:cs="宋体"/>
          <w:color w:val="auto"/>
          <w:kern w:val="2"/>
          <w:sz w:val="24"/>
          <w:szCs w:val="24"/>
          <w:highlight w:val="none"/>
          <w:lang w:val="en-US" w:eastAsia="zh-CN" w:bidi="ar-SA"/>
        </w:rPr>
        <w:t>；</w:t>
      </w:r>
    </w:p>
    <w:p w14:paraId="09B93F42">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3）工程质量评估报告：</w:t>
      </w:r>
      <w:r>
        <w:rPr>
          <w:rFonts w:hint="eastAsia" w:ascii="宋体" w:hAnsi="宋体" w:eastAsia="宋体" w:cs="宋体"/>
          <w:color w:val="auto"/>
          <w:kern w:val="2"/>
          <w:sz w:val="24"/>
          <w:szCs w:val="24"/>
          <w:highlight w:val="none"/>
          <w:u w:val="single"/>
          <w:lang w:val="en-US" w:eastAsia="zh-CN" w:bidi="ar-SA"/>
        </w:rPr>
        <w:t>工程竣工验收后7日内，提交3份</w:t>
      </w:r>
      <w:r>
        <w:rPr>
          <w:rFonts w:hint="eastAsia" w:ascii="宋体" w:hAnsi="宋体" w:eastAsia="宋体" w:cs="宋体"/>
          <w:color w:val="auto"/>
          <w:kern w:val="2"/>
          <w:sz w:val="24"/>
          <w:szCs w:val="24"/>
          <w:highlight w:val="none"/>
          <w:lang w:val="en-US" w:eastAsia="zh-CN" w:bidi="ar-SA"/>
        </w:rPr>
        <w:t>；</w:t>
      </w:r>
    </w:p>
    <w:p w14:paraId="01B59BB4">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2.6 使用委托人的财产： 由委托人无偿提供的房屋、设备的所有权属于：</w:t>
      </w:r>
      <w:r>
        <w:rPr>
          <w:rFonts w:hint="eastAsia" w:ascii="宋体" w:hAnsi="宋体" w:eastAsia="宋体" w:cs="宋体"/>
          <w:color w:val="auto"/>
          <w:kern w:val="2"/>
          <w:sz w:val="24"/>
          <w:szCs w:val="24"/>
          <w:highlight w:val="none"/>
          <w:u w:val="single"/>
          <w:lang w:val="en-US" w:eastAsia="zh-CN" w:bidi="ar-SA"/>
        </w:rPr>
        <w:t xml:space="preserve"> 委托人或委托人指定单位  </w:t>
      </w:r>
      <w:r>
        <w:rPr>
          <w:rFonts w:hint="eastAsia" w:ascii="宋体" w:hAnsi="宋体" w:eastAsia="宋体" w:cs="宋体"/>
          <w:color w:val="auto"/>
          <w:kern w:val="2"/>
          <w:sz w:val="24"/>
          <w:szCs w:val="24"/>
          <w:highlight w:val="none"/>
          <w:lang w:val="en-US" w:eastAsia="zh-CN" w:bidi="ar-SA"/>
        </w:rPr>
        <w:t>。</w:t>
      </w:r>
    </w:p>
    <w:p w14:paraId="20E6B9CB">
      <w:pPr>
        <w:keepNext w:val="0"/>
        <w:keepLines w:val="0"/>
        <w:pageBreakBefore w:val="0"/>
        <w:widowControl w:val="0"/>
        <w:shd w:val="clear" w:color="auto" w:fill="auto"/>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监理人应在本合同终止后</w:t>
      </w:r>
      <w:r>
        <w:rPr>
          <w:rFonts w:hint="eastAsia" w:ascii="宋体" w:hAnsi="宋体" w:eastAsia="宋体" w:cs="宋体"/>
          <w:color w:val="auto"/>
          <w:kern w:val="2"/>
          <w:sz w:val="24"/>
          <w:szCs w:val="24"/>
          <w:highlight w:val="none"/>
          <w:u w:val="single"/>
          <w:lang w:val="en-US" w:eastAsia="zh-CN" w:bidi="ar-SA"/>
        </w:rPr>
        <w:t xml:space="preserve"> 15 </w:t>
      </w:r>
      <w:r>
        <w:rPr>
          <w:rFonts w:hint="eastAsia" w:ascii="宋体" w:hAnsi="宋体" w:eastAsia="宋体" w:cs="宋体"/>
          <w:color w:val="auto"/>
          <w:kern w:val="2"/>
          <w:sz w:val="24"/>
          <w:szCs w:val="24"/>
          <w:highlight w:val="none"/>
          <w:lang w:val="en-US" w:eastAsia="zh-CN" w:bidi="ar-SA"/>
        </w:rPr>
        <w:t>天内移交委托人无偿提供的房屋、设备，移交的时间和方式为：</w:t>
      </w:r>
      <w:r>
        <w:rPr>
          <w:rFonts w:hint="eastAsia" w:ascii="宋体" w:hAnsi="宋体" w:eastAsia="宋体" w:cs="宋体"/>
          <w:color w:val="auto"/>
          <w:kern w:val="2"/>
          <w:sz w:val="24"/>
          <w:szCs w:val="24"/>
          <w:highlight w:val="none"/>
          <w:u w:val="single"/>
          <w:lang w:val="en-US" w:eastAsia="zh-CN" w:bidi="ar-SA"/>
        </w:rPr>
        <w:t xml:space="preserve"> 现场清点、移交。移交时，监理人给委托人的财产造成损坏的，应当承担赔偿责任，委托人有权从监理酬金中扣留 </w:t>
      </w:r>
      <w:r>
        <w:rPr>
          <w:rFonts w:hint="eastAsia" w:ascii="宋体" w:hAnsi="宋体" w:eastAsia="宋体" w:cs="宋体"/>
          <w:color w:val="auto"/>
          <w:kern w:val="2"/>
          <w:sz w:val="24"/>
          <w:szCs w:val="24"/>
          <w:highlight w:val="none"/>
          <w:lang w:val="en-US" w:eastAsia="zh-CN" w:bidi="ar-SA"/>
        </w:rPr>
        <w:t>。</w:t>
      </w:r>
    </w:p>
    <w:p w14:paraId="73C0F7D1">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3. 委托人义务</w:t>
      </w:r>
    </w:p>
    <w:p w14:paraId="0DE70FF4">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 委托人代表</w:t>
      </w:r>
    </w:p>
    <w:p w14:paraId="7B21D913">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委托人代表为：</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6A3F1D33">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3.5 答复</w:t>
      </w:r>
    </w:p>
    <w:p w14:paraId="6C853411">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委托人同意在</w:t>
      </w:r>
      <w:r>
        <w:rPr>
          <w:rFonts w:hint="eastAsia" w:ascii="宋体" w:hAnsi="宋体" w:eastAsia="宋体" w:cs="宋体"/>
          <w:color w:val="auto"/>
          <w:kern w:val="2"/>
          <w:sz w:val="24"/>
          <w:szCs w:val="24"/>
          <w:highlight w:val="none"/>
          <w:u w:val="single"/>
          <w:lang w:val="en-US" w:eastAsia="zh-CN" w:bidi="ar-SA"/>
        </w:rPr>
        <w:t xml:space="preserve"> 5个工作日 </w:t>
      </w:r>
      <w:r>
        <w:rPr>
          <w:rFonts w:hint="eastAsia" w:ascii="宋体" w:hAnsi="宋体" w:eastAsia="宋体" w:cs="宋体"/>
          <w:color w:val="auto"/>
          <w:kern w:val="2"/>
          <w:sz w:val="24"/>
          <w:szCs w:val="24"/>
          <w:highlight w:val="none"/>
          <w:lang w:val="en-US" w:eastAsia="zh-CN" w:bidi="ar-SA"/>
        </w:rPr>
        <w:t>内，对监理人书面提交并要求做出决定的事宜给予书面答复。</w:t>
      </w:r>
    </w:p>
    <w:p w14:paraId="1B8661D2">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 违约责任</w:t>
      </w:r>
    </w:p>
    <w:p w14:paraId="00217693">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4.1 监理人的违约责任</w:t>
      </w:r>
    </w:p>
    <w:p w14:paraId="445127C8">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4.1.1 监理人赔偿金额按下列方法确定：</w:t>
      </w:r>
    </w:p>
    <w:p w14:paraId="1A8230FA">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赔偿金＝直接经济损失×正常工作酬金÷工程概算投资额（或建筑安装工程费）</w:t>
      </w:r>
    </w:p>
    <w:p w14:paraId="7F145CF3">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4.2 委托人的违约责任</w:t>
      </w:r>
    </w:p>
    <w:p w14:paraId="483F9D6A">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4.2.1 委托人逾期付款利息按下列方法确定：</w:t>
      </w:r>
    </w:p>
    <w:p w14:paraId="6A2FD3E9">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逾期付款利息＝当期应付款总额×银行同期贷款利率×拖延支付天数</w:t>
      </w:r>
    </w:p>
    <w:p w14:paraId="3BACFEA7">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5. 支付</w:t>
      </w:r>
    </w:p>
    <w:p w14:paraId="791AC406">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5.1 支付货币币种为：</w:t>
      </w:r>
      <w:r>
        <w:rPr>
          <w:rFonts w:hint="eastAsia" w:ascii="宋体" w:hAnsi="宋体" w:eastAsia="宋体" w:cs="宋体"/>
          <w:color w:val="auto"/>
          <w:kern w:val="2"/>
          <w:sz w:val="24"/>
          <w:szCs w:val="24"/>
          <w:highlight w:val="none"/>
          <w:u w:val="single"/>
          <w:lang w:val="en-US" w:eastAsia="zh-CN" w:bidi="ar-SA"/>
        </w:rPr>
        <w:t xml:space="preserve">  人民币  </w:t>
      </w:r>
      <w:r>
        <w:rPr>
          <w:rFonts w:hint="eastAsia" w:ascii="宋体" w:hAnsi="宋体" w:eastAsia="宋体" w:cs="宋体"/>
          <w:color w:val="auto"/>
          <w:kern w:val="2"/>
          <w:sz w:val="24"/>
          <w:szCs w:val="24"/>
          <w:highlight w:val="none"/>
          <w:u w:val="none"/>
          <w:lang w:val="en-US" w:eastAsia="zh-CN" w:bidi="ar-SA"/>
        </w:rPr>
        <w:t>，</w:t>
      </w:r>
      <w:r>
        <w:rPr>
          <w:rFonts w:hint="eastAsia" w:ascii="宋体" w:hAnsi="宋体" w:eastAsia="宋体" w:cs="宋体"/>
          <w:color w:val="auto"/>
          <w:kern w:val="2"/>
          <w:sz w:val="24"/>
          <w:szCs w:val="24"/>
          <w:highlight w:val="none"/>
          <w:lang w:val="en-US" w:eastAsia="zh-CN" w:bidi="ar-SA"/>
        </w:rPr>
        <w:t>比例为：</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lang w:val="en-US" w:eastAsia="zh-CN" w:bidi="ar-SA"/>
        </w:rPr>
        <w:t>，汇率为：</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lang w:val="en-US" w:eastAsia="zh-CN" w:bidi="ar-SA"/>
        </w:rPr>
        <w:t>。</w:t>
      </w:r>
    </w:p>
    <w:p w14:paraId="52DDF72E">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5.3 </w:t>
      </w:r>
    </w:p>
    <w:p w14:paraId="74C0EA17">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5.3.1监理服务费计取方式：</w:t>
      </w:r>
      <w:r>
        <w:rPr>
          <w:rFonts w:hint="eastAsia" w:ascii="宋体" w:hAnsi="宋体" w:eastAsia="宋体" w:cs="宋体"/>
          <w:color w:val="auto"/>
          <w:kern w:val="2"/>
          <w:sz w:val="24"/>
          <w:szCs w:val="24"/>
          <w:highlight w:val="none"/>
          <w:u w:val="single"/>
          <w:lang w:val="en-US" w:eastAsia="zh-CN" w:bidi="ar-SA"/>
        </w:rPr>
        <w:t>监理服务费包含施工全过程监理服务，不再作任何调整。</w:t>
      </w:r>
    </w:p>
    <w:p w14:paraId="4A0C650B">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5.3.2监理服务费为人民币大写：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小写：￥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p>
    <w:p w14:paraId="3138C53A">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5.3.3支付酬金：施工工程量达到60%，监理服务费付50%</w:t>
      </w:r>
      <w:r>
        <w:rPr>
          <w:rFonts w:hint="eastAsia" w:ascii="宋体" w:hAnsi="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施工竣工验收后，付至总合同的97%</w:t>
      </w:r>
      <w:r>
        <w:rPr>
          <w:rFonts w:hint="eastAsia" w:ascii="宋体" w:hAnsi="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竣工验收后满12个月，支付合同总金额的3.0%</w:t>
      </w:r>
      <w:r>
        <w:rPr>
          <w:rFonts w:hint="eastAsia" w:ascii="宋体" w:hAnsi="宋体" w:cs="宋体"/>
          <w:color w:val="auto"/>
          <w:kern w:val="2"/>
          <w:sz w:val="24"/>
          <w:szCs w:val="24"/>
          <w:highlight w:val="none"/>
          <w:lang w:val="en-US" w:eastAsia="zh-CN" w:bidi="ar-SA"/>
        </w:rPr>
        <w:t>。</w:t>
      </w:r>
    </w:p>
    <w:p w14:paraId="74225303">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6. 合同生效、变更、暂停、解除与终止</w:t>
      </w:r>
    </w:p>
    <w:p w14:paraId="39E0B466">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6.1 生效</w:t>
      </w:r>
    </w:p>
    <w:p w14:paraId="3A4AB499">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本合同生效条件：</w:t>
      </w:r>
      <w:r>
        <w:rPr>
          <w:rFonts w:hint="eastAsia" w:ascii="宋体" w:hAnsi="宋体" w:eastAsia="宋体" w:cs="宋体"/>
          <w:color w:val="auto"/>
          <w:kern w:val="2"/>
          <w:sz w:val="24"/>
          <w:szCs w:val="24"/>
          <w:highlight w:val="none"/>
          <w:u w:val="single"/>
          <w:lang w:val="en-US" w:eastAsia="zh-CN" w:bidi="ar-SA"/>
        </w:rPr>
        <w:t xml:space="preserve"> 双方签字盖章后生效  </w:t>
      </w:r>
      <w:r>
        <w:rPr>
          <w:rFonts w:hint="eastAsia" w:ascii="宋体" w:hAnsi="宋体" w:eastAsia="宋体" w:cs="宋体"/>
          <w:color w:val="auto"/>
          <w:kern w:val="2"/>
          <w:sz w:val="24"/>
          <w:szCs w:val="24"/>
          <w:highlight w:val="none"/>
          <w:lang w:val="en-US" w:eastAsia="zh-CN" w:bidi="ar-SA"/>
        </w:rPr>
        <w:t>。</w:t>
      </w:r>
    </w:p>
    <w:p w14:paraId="61E12989">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6.2 变更</w:t>
      </w:r>
    </w:p>
    <w:p w14:paraId="22182662">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6.2.2 除不可抗力外，因非监理人原因导致本合同期限延长时，附加工作酬金按下列方法确定：</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u w:val="none"/>
          <w:lang w:val="en-US" w:eastAsia="zh-CN" w:bidi="ar-SA"/>
        </w:rPr>
        <w:t>。</w:t>
      </w:r>
    </w:p>
    <w:p w14:paraId="1F432834">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6.2.3 附加工作酬金按下列方法确定：</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u w:val="none"/>
          <w:lang w:val="en-US" w:eastAsia="zh-CN" w:bidi="ar-SA"/>
        </w:rPr>
        <w:t>。</w:t>
      </w:r>
    </w:p>
    <w:p w14:paraId="1B6187B6">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6.2.5 正常工作酬金增加额按下列方法确定：</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u w:val="none"/>
          <w:lang w:val="en-US" w:eastAsia="zh-CN" w:bidi="ar-SA"/>
        </w:rPr>
        <w:t>。</w:t>
      </w:r>
    </w:p>
    <w:p w14:paraId="55012F56">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6.2.6 因工程规模、监理范围的变化导致监理人的正常工作量减少时，按减少工作量的比例从协议书约定的正常工作酬金中扣减相同比例的酬金。</w:t>
      </w:r>
    </w:p>
    <w:p w14:paraId="2A3BC06C">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7. 争议解决</w:t>
      </w:r>
    </w:p>
    <w:p w14:paraId="2DDCDE70">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 调解</w:t>
      </w:r>
    </w:p>
    <w:p w14:paraId="54934A9C">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本合同争议进行调解时，可提交</w:t>
      </w:r>
      <w:r>
        <w:rPr>
          <w:rFonts w:hint="eastAsia" w:ascii="宋体" w:hAnsi="宋体" w:eastAsia="宋体" w:cs="宋体"/>
          <w:color w:val="auto"/>
          <w:kern w:val="2"/>
          <w:sz w:val="24"/>
          <w:szCs w:val="24"/>
          <w:highlight w:val="none"/>
          <w:u w:val="single"/>
          <w:lang w:val="en-US" w:eastAsia="zh-CN" w:bidi="ar-SA"/>
        </w:rPr>
        <w:t xml:space="preserve"> 提交给双方认可的机构进行调解，具体调节机构协商决定 </w:t>
      </w:r>
      <w:r>
        <w:rPr>
          <w:rFonts w:hint="eastAsia" w:ascii="宋体" w:hAnsi="宋体" w:eastAsia="宋体" w:cs="宋体"/>
          <w:color w:val="auto"/>
          <w:kern w:val="2"/>
          <w:sz w:val="24"/>
          <w:szCs w:val="24"/>
          <w:highlight w:val="none"/>
          <w:lang w:val="en-US" w:eastAsia="zh-CN" w:bidi="ar-SA"/>
        </w:rPr>
        <w:t>。</w:t>
      </w:r>
    </w:p>
    <w:p w14:paraId="308DF611">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7.3 仲裁或诉讼</w:t>
      </w:r>
    </w:p>
    <w:p w14:paraId="55539C38">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合同争议的最终解决方式为下列第</w:t>
      </w:r>
      <w:r>
        <w:rPr>
          <w:rFonts w:hint="eastAsia" w:ascii="宋体" w:hAnsi="宋体" w:eastAsia="宋体" w:cs="宋体"/>
          <w:color w:val="auto"/>
          <w:kern w:val="2"/>
          <w:sz w:val="24"/>
          <w:szCs w:val="24"/>
          <w:highlight w:val="none"/>
          <w:u w:val="single"/>
          <w:lang w:val="en-US" w:eastAsia="zh-CN" w:bidi="ar-SA"/>
        </w:rPr>
        <w:t xml:space="preserve">   （2）      </w:t>
      </w:r>
      <w:r>
        <w:rPr>
          <w:rFonts w:hint="eastAsia" w:ascii="宋体" w:hAnsi="宋体" w:eastAsia="宋体" w:cs="宋体"/>
          <w:color w:val="auto"/>
          <w:kern w:val="2"/>
          <w:sz w:val="24"/>
          <w:szCs w:val="24"/>
          <w:highlight w:val="none"/>
          <w:lang w:val="en-US" w:eastAsia="zh-CN" w:bidi="ar-SA"/>
        </w:rPr>
        <w:t>种方式：</w:t>
      </w:r>
    </w:p>
    <w:p w14:paraId="30B557A5">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（1）提请</w:t>
      </w:r>
      <w:r>
        <w:rPr>
          <w:rFonts w:hint="eastAsia" w:ascii="宋体" w:hAnsi="宋体" w:eastAsia="宋体" w:cs="宋体"/>
          <w:color w:val="auto"/>
          <w:kern w:val="2"/>
          <w:sz w:val="24"/>
          <w:szCs w:val="24"/>
          <w:highlight w:val="none"/>
          <w:u w:val="single"/>
          <w:lang w:val="en-US" w:eastAsia="zh-CN" w:bidi="ar-SA"/>
        </w:rPr>
        <w:t xml:space="preserve">  / </w:t>
      </w:r>
      <w:r>
        <w:rPr>
          <w:rFonts w:hint="eastAsia" w:ascii="宋体" w:hAnsi="宋体" w:eastAsia="宋体" w:cs="宋体"/>
          <w:color w:val="auto"/>
          <w:kern w:val="2"/>
          <w:sz w:val="24"/>
          <w:szCs w:val="24"/>
          <w:highlight w:val="none"/>
          <w:lang w:val="en-US" w:eastAsia="zh-CN" w:bidi="ar-SA"/>
        </w:rPr>
        <w:t>仲裁委员会进行仲裁。</w:t>
      </w:r>
    </w:p>
    <w:p w14:paraId="7592369F">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（2）向</w:t>
      </w:r>
      <w:r>
        <w:rPr>
          <w:rFonts w:hint="eastAsia" w:ascii="宋体" w:hAnsi="宋体" w:eastAsia="宋体" w:cs="宋体"/>
          <w:color w:val="auto"/>
          <w:kern w:val="2"/>
          <w:sz w:val="24"/>
          <w:szCs w:val="24"/>
          <w:highlight w:val="none"/>
          <w:u w:val="single"/>
          <w:lang w:val="en-US" w:eastAsia="zh-CN" w:bidi="ar-SA"/>
        </w:rPr>
        <w:t xml:space="preserve">   委托人所在地      </w:t>
      </w:r>
      <w:r>
        <w:rPr>
          <w:rFonts w:hint="eastAsia" w:ascii="宋体" w:hAnsi="宋体" w:eastAsia="宋体" w:cs="宋体"/>
          <w:color w:val="auto"/>
          <w:kern w:val="2"/>
          <w:sz w:val="24"/>
          <w:szCs w:val="24"/>
          <w:highlight w:val="none"/>
          <w:lang w:val="en-US" w:eastAsia="zh-CN" w:bidi="ar-SA"/>
        </w:rPr>
        <w:t>人民法院提起诉讼。</w:t>
      </w:r>
    </w:p>
    <w:p w14:paraId="0F197C27">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8. 其他</w:t>
      </w:r>
    </w:p>
    <w:p w14:paraId="4AA85C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8.2 检测费用</w:t>
      </w:r>
    </w:p>
    <w:p w14:paraId="23600F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委托人应在检测工作完成后</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天内支付检测费用</w:t>
      </w:r>
      <w:r>
        <w:rPr>
          <w:rFonts w:hint="eastAsia" w:ascii="宋体" w:hAnsi="宋体" w:eastAsia="宋体" w:cs="宋体"/>
          <w:bCs/>
          <w:color w:val="auto"/>
          <w:sz w:val="24"/>
          <w:szCs w:val="24"/>
          <w:highlight w:val="none"/>
        </w:rPr>
        <w:t>。</w:t>
      </w:r>
    </w:p>
    <w:p w14:paraId="5FB71F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8.3 咨询费用</w:t>
      </w:r>
    </w:p>
    <w:p w14:paraId="1818BFC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委托人应在咨询工作完成后</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天内支付咨询费用。</w:t>
      </w:r>
    </w:p>
    <w:p w14:paraId="7A8BB18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奖励</w:t>
      </w:r>
    </w:p>
    <w:p w14:paraId="776677B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合理化建议的奖励金额按下列方法确定为</w:t>
      </w:r>
      <w:r>
        <w:rPr>
          <w:rFonts w:hint="eastAsia" w:ascii="宋体" w:hAnsi="宋体" w:eastAsia="宋体" w:cs="宋体"/>
          <w:color w:val="auto"/>
          <w:sz w:val="24"/>
          <w:szCs w:val="24"/>
          <w:highlight w:val="none"/>
          <w:lang w:eastAsia="zh-CN"/>
        </w:rPr>
        <w:t>：</w:t>
      </w:r>
    </w:p>
    <w:p w14:paraId="2EA3ECD7">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奖励金额＝工程投资节省额×奖励金额的比率</w:t>
      </w:r>
      <w:r>
        <w:rPr>
          <w:rFonts w:hint="eastAsia" w:ascii="宋体" w:hAnsi="宋体" w:eastAsia="宋体" w:cs="宋体"/>
          <w:color w:val="auto"/>
          <w:sz w:val="24"/>
          <w:szCs w:val="24"/>
          <w:highlight w:val="none"/>
          <w:lang w:eastAsia="zh-CN"/>
        </w:rPr>
        <w:t>；</w:t>
      </w:r>
    </w:p>
    <w:p w14:paraId="372E005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奖励金额的比率为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8F006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保密</w:t>
      </w:r>
    </w:p>
    <w:p w14:paraId="163587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委托人申明的保密事项和期限：</w:t>
      </w:r>
      <w:r>
        <w:rPr>
          <w:rFonts w:hint="eastAsia" w:ascii="宋体" w:hAnsi="宋体" w:eastAsia="宋体" w:cs="宋体"/>
          <w:color w:val="auto"/>
          <w:sz w:val="24"/>
          <w:szCs w:val="24"/>
          <w:highlight w:val="none"/>
          <w:u w:val="single"/>
        </w:rPr>
        <w:t>与工程</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监理等</w:t>
      </w:r>
      <w:r>
        <w:rPr>
          <w:rFonts w:hint="eastAsia" w:ascii="宋体" w:hAnsi="宋体" w:eastAsia="宋体" w:cs="宋体"/>
          <w:color w:val="auto"/>
          <w:sz w:val="24"/>
          <w:szCs w:val="24"/>
          <w:highlight w:val="none"/>
          <w:u w:val="single"/>
        </w:rPr>
        <w:t>相关信息</w:t>
      </w:r>
      <w:r>
        <w:rPr>
          <w:rFonts w:hint="eastAsia" w:ascii="宋体" w:hAnsi="宋体" w:eastAsia="宋体" w:cs="宋体"/>
          <w:color w:val="auto"/>
          <w:sz w:val="24"/>
          <w:szCs w:val="24"/>
          <w:highlight w:val="none"/>
          <w:u w:val="single"/>
          <w:lang w:val="en-US" w:eastAsia="zh-CN"/>
        </w:rPr>
        <w:t>须保密，除特殊情况外，均不可泄密</w:t>
      </w:r>
      <w:r>
        <w:rPr>
          <w:rFonts w:hint="eastAsia" w:ascii="宋体" w:hAnsi="宋体" w:eastAsia="宋体" w:cs="宋体"/>
          <w:color w:val="auto"/>
          <w:sz w:val="24"/>
          <w:szCs w:val="24"/>
          <w:highlight w:val="none"/>
        </w:rPr>
        <w:t>。</w:t>
      </w:r>
    </w:p>
    <w:p w14:paraId="2C7813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监理人申明的保密事项和期限：</w:t>
      </w:r>
      <w:r>
        <w:rPr>
          <w:rFonts w:hint="eastAsia" w:ascii="宋体" w:hAnsi="宋体" w:eastAsia="宋体" w:cs="宋体"/>
          <w:color w:val="auto"/>
          <w:sz w:val="24"/>
          <w:szCs w:val="24"/>
          <w:highlight w:val="none"/>
          <w:u w:val="single"/>
        </w:rPr>
        <w:t>与工程</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监理等</w:t>
      </w:r>
      <w:r>
        <w:rPr>
          <w:rFonts w:hint="eastAsia" w:ascii="宋体" w:hAnsi="宋体" w:eastAsia="宋体" w:cs="宋体"/>
          <w:color w:val="auto"/>
          <w:sz w:val="24"/>
          <w:szCs w:val="24"/>
          <w:highlight w:val="none"/>
          <w:u w:val="single"/>
        </w:rPr>
        <w:t>相关信息</w:t>
      </w:r>
      <w:r>
        <w:rPr>
          <w:rFonts w:hint="eastAsia" w:ascii="宋体" w:hAnsi="宋体" w:eastAsia="宋体" w:cs="宋体"/>
          <w:color w:val="auto"/>
          <w:sz w:val="24"/>
          <w:szCs w:val="24"/>
          <w:highlight w:val="none"/>
          <w:u w:val="single"/>
          <w:lang w:val="en-US" w:eastAsia="zh-CN"/>
        </w:rPr>
        <w:t>须保密，除特殊情况外，均不可泄密</w:t>
      </w:r>
      <w:r>
        <w:rPr>
          <w:rFonts w:hint="eastAsia" w:ascii="宋体" w:hAnsi="宋体" w:eastAsia="宋体" w:cs="宋体"/>
          <w:color w:val="auto"/>
          <w:sz w:val="24"/>
          <w:szCs w:val="24"/>
          <w:highlight w:val="none"/>
        </w:rPr>
        <w:t>。</w:t>
      </w:r>
    </w:p>
    <w:p w14:paraId="74895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第三方申明的保密事项和期限：</w:t>
      </w:r>
      <w:r>
        <w:rPr>
          <w:rFonts w:hint="eastAsia" w:ascii="宋体" w:hAnsi="宋体" w:eastAsia="宋体" w:cs="宋体"/>
          <w:color w:val="auto"/>
          <w:sz w:val="24"/>
          <w:szCs w:val="24"/>
          <w:highlight w:val="none"/>
          <w:u w:val="single"/>
        </w:rPr>
        <w:t>与工程</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监理等</w:t>
      </w:r>
      <w:r>
        <w:rPr>
          <w:rFonts w:hint="eastAsia" w:ascii="宋体" w:hAnsi="宋体" w:eastAsia="宋体" w:cs="宋体"/>
          <w:color w:val="auto"/>
          <w:sz w:val="24"/>
          <w:szCs w:val="24"/>
          <w:highlight w:val="none"/>
          <w:u w:val="single"/>
        </w:rPr>
        <w:t>相关信息</w:t>
      </w:r>
      <w:r>
        <w:rPr>
          <w:rFonts w:hint="eastAsia" w:ascii="宋体" w:hAnsi="宋体" w:eastAsia="宋体" w:cs="宋体"/>
          <w:color w:val="auto"/>
          <w:sz w:val="24"/>
          <w:szCs w:val="24"/>
          <w:highlight w:val="none"/>
          <w:u w:val="single"/>
          <w:lang w:val="en-US" w:eastAsia="zh-CN"/>
        </w:rPr>
        <w:t>须保密，除特殊情况外，均不可泄密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E7A50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8.8</w:t>
      </w:r>
      <w:r>
        <w:rPr>
          <w:rFonts w:hint="eastAsia" w:ascii="宋体" w:hAnsi="宋体" w:eastAsia="宋体" w:cs="宋体"/>
          <w:bCs/>
          <w:color w:val="auto"/>
          <w:sz w:val="24"/>
          <w:szCs w:val="24"/>
          <w:highlight w:val="none"/>
        </w:rPr>
        <w:t>著作权</w:t>
      </w:r>
    </w:p>
    <w:p w14:paraId="5869B53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监理人在本合同履行期间及本合同终止后两年内出版涉及本工程的有关监理与相关服务的资料的限制条件：</w:t>
      </w:r>
      <w:r>
        <w:rPr>
          <w:rFonts w:hint="eastAsia" w:ascii="宋体" w:hAnsi="宋体" w:eastAsia="宋体" w:cs="宋体"/>
          <w:color w:val="auto"/>
          <w:sz w:val="24"/>
          <w:szCs w:val="24"/>
          <w:highlight w:val="none"/>
          <w:u w:val="single"/>
        </w:rPr>
        <w:t xml:space="preserve"> 监理人出版与本项目或本合同监理服务有关的资料，必须征得委托人的同意  </w:t>
      </w:r>
      <w:r>
        <w:rPr>
          <w:rFonts w:hint="eastAsia" w:ascii="宋体" w:hAnsi="宋体" w:eastAsia="宋体" w:cs="宋体"/>
          <w:color w:val="auto"/>
          <w:sz w:val="24"/>
          <w:szCs w:val="24"/>
          <w:highlight w:val="none"/>
        </w:rPr>
        <w:t>。</w:t>
      </w:r>
    </w:p>
    <w:p w14:paraId="081CCD2A">
      <w:pPr>
        <w:keepNext w:val="0"/>
        <w:keepLines w:val="0"/>
        <w:pageBreakBefore w:val="0"/>
        <w:widowControl w:val="0"/>
        <w:shd w:val="clear" w:color="auto" w:fill="auto"/>
        <w:kinsoku/>
        <w:wordWrap/>
        <w:overflowPunct/>
        <w:topLinePunct w:val="0"/>
        <w:autoSpaceDE/>
        <w:autoSpaceDN/>
        <w:bidi w:val="0"/>
        <w:adjustRightInd w:val="0"/>
        <w:spacing w:line="360" w:lineRule="auto"/>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9.补充条款</w:t>
      </w:r>
    </w:p>
    <w:p w14:paraId="2ACCA96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奖惩约定</w:t>
      </w:r>
    </w:p>
    <w:p w14:paraId="05534C8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val="en-US" w:eastAsia="en-US"/>
        </w:rPr>
        <w:t>监理人在责任期内，应当履行约定的义务，如因监理人过失而造成了委托方的经济损失，应当向委托方赔偿；</w:t>
      </w:r>
    </w:p>
    <w:p w14:paraId="01D0992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en-US"/>
        </w:rPr>
        <w:t>监理人审核施工单位已完工程数量（月报），月报准确率达到 95%以上，工作量签证准确率达到100%；如不能满足要求，每发现一次，罚款 2000 元。</w:t>
      </w:r>
    </w:p>
    <w:p w14:paraId="1731DFA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③</w:t>
      </w:r>
      <w:r>
        <w:rPr>
          <w:rFonts w:hint="eastAsia" w:ascii="宋体" w:hAnsi="宋体" w:eastAsia="宋体" w:cs="宋体"/>
          <w:color w:val="auto"/>
          <w:sz w:val="24"/>
          <w:szCs w:val="24"/>
          <w:highlight w:val="none"/>
          <w:lang w:val="en-US" w:eastAsia="en-US"/>
        </w:rPr>
        <w:t>根据施工图纸、国家以及省市相关施工规范和本工程施工承包合同中的《施工技术操作规范》的要求严格监理施工质量，督促施工单位确保工程质量合格率为100%；并同时监督施工单位进行施工质量100%细部检查工作，检查表须完整、真实填写，在该分部工程结束10天内将表单提交给委托方备查。</w:t>
      </w:r>
    </w:p>
    <w:p w14:paraId="5F91C32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④</w:t>
      </w:r>
      <w:r>
        <w:rPr>
          <w:rFonts w:hint="eastAsia" w:ascii="宋体" w:hAnsi="宋体" w:eastAsia="宋体" w:cs="宋体"/>
          <w:color w:val="auto"/>
          <w:sz w:val="24"/>
          <w:szCs w:val="24"/>
          <w:highlight w:val="none"/>
          <w:lang w:val="en-US" w:eastAsia="en-US"/>
        </w:rPr>
        <w:t xml:space="preserve"> 施工期间由于施工单位违反安全操作规范，而监理人又没有及时指出整改或被政府有关处罚，如通报批评、警告和罚款等，委托方将给予监理人 1000 元/次的罚款。</w:t>
      </w:r>
    </w:p>
    <w:p w14:paraId="3E02180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⑤</w:t>
      </w:r>
      <w:r>
        <w:rPr>
          <w:rFonts w:hint="eastAsia" w:ascii="宋体" w:hAnsi="宋体" w:eastAsia="宋体" w:cs="宋体"/>
          <w:color w:val="auto"/>
          <w:sz w:val="24"/>
          <w:szCs w:val="24"/>
          <w:highlight w:val="none"/>
          <w:lang w:val="en-US" w:eastAsia="en-US"/>
        </w:rPr>
        <w:t xml:space="preserve"> 监理人应保证监理人员的相关资料（包括证书、简历）的真实性，委托人在以后的工作中进行检查，如发现虚假资料，每发现一次罚款 1000 元，同时该人员不得再担任本工程的监理工作。</w:t>
      </w:r>
    </w:p>
    <w:p w14:paraId="1CAA397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⑥</w:t>
      </w:r>
      <w:r>
        <w:rPr>
          <w:rFonts w:hint="eastAsia" w:ascii="宋体" w:hAnsi="宋体" w:eastAsia="宋体" w:cs="宋体"/>
          <w:color w:val="auto"/>
          <w:sz w:val="24"/>
          <w:szCs w:val="24"/>
          <w:highlight w:val="none"/>
          <w:lang w:val="en-US" w:eastAsia="en-US"/>
        </w:rPr>
        <w:t>监理人应保证所提供的监理人员计划在工作中予以落实，如需更换人员应以书面的 形式取得委托人同意；如发现监理人员与承诺不符或不具备完成本职工作的素质，一经核实，罚款监理费用的 20%（从监理费中扣除）。</w:t>
      </w:r>
    </w:p>
    <w:p w14:paraId="18377B9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⑦</w:t>
      </w:r>
      <w:r>
        <w:rPr>
          <w:rFonts w:hint="eastAsia" w:ascii="宋体" w:hAnsi="宋体" w:eastAsia="宋体" w:cs="宋体"/>
          <w:color w:val="auto"/>
          <w:sz w:val="24"/>
          <w:szCs w:val="24"/>
          <w:highlight w:val="none"/>
          <w:lang w:val="en-US" w:eastAsia="en-US"/>
        </w:rPr>
        <w:t>未经委托方同意监理人擅自更换项目总监或专业监理工程师的，罚款 5 万元/人， 并保留解除监理合同的权利。</w:t>
      </w:r>
    </w:p>
    <w:p w14:paraId="6F83784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kern w:val="2"/>
          <w:sz w:val="24"/>
          <w:szCs w:val="24"/>
          <w:highlight w:val="none"/>
          <w:lang w:val="en-US" w:eastAsia="en-US" w:bidi="ar-SA"/>
        </w:rPr>
      </w:pPr>
      <w:r>
        <w:rPr>
          <w:rFonts w:hint="eastAsia" w:ascii="宋体" w:hAnsi="宋体" w:eastAsia="宋体" w:cs="宋体"/>
          <w:b/>
          <w:bCs/>
          <w:color w:val="auto"/>
          <w:kern w:val="2"/>
          <w:sz w:val="24"/>
          <w:szCs w:val="24"/>
          <w:highlight w:val="none"/>
          <w:lang w:val="en-US" w:eastAsia="en-US" w:bidi="ar-SA"/>
        </w:rPr>
        <w:t>附加协议条款：</w:t>
      </w:r>
    </w:p>
    <w:p w14:paraId="41FDC42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凡有关工程签证、工程进度款的确认及支付、竣工结算等与投资控制有关的资料，监理人必须事先与委托人沟通一致，征得委托人的书面同意后，才能由监理人发出。否则，对于因此造成的损失，委托人将要求监理人按损失大小进行赔偿，直至解除合同。</w:t>
      </w:r>
    </w:p>
    <w:p w14:paraId="7ECDA4D7">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en-US"/>
        </w:rPr>
        <w:t>监理人严格监理工作纪律，签约廉政协议，如监理人员徇私舞弊，除处理当事人外，委托人有权责令监理人退场，不支付监理费，已经支付的监理人应当返还，并由监理人承担相关责任和赔偿经济损失。</w:t>
      </w:r>
    </w:p>
    <w:p w14:paraId="727BF7E7">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3、监理机构人员配备表及各阶段派驻人员表中的人员不得更换，确须更换须经委托人书面认可。如监理人擅自更换人员，除须支付委托人违约金</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en-US"/>
        </w:rPr>
        <w:t>万元/人外，还应继续按约定履行合同。在接到委托人书面通知后 7 日内，该阶段所有配备人员必须全部到场，否则每延误一天收取违约金 1000 元/人，在监理费中扣除。</w:t>
      </w:r>
    </w:p>
    <w:p w14:paraId="0E5CFCA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4、总监理工程师及专业监理人员每周一至周五必须在现场，一天不少于 8 小时，确保满足现场施工管理需要，如有调整，人员排班以委托人批准的计划表为准。如未与委托人请假无故不在现场，总监理工程师按 3000 元/次，专业人员按 1000 元/次进行罚款，费用在监理费用中扣回，累计 3 次，委托人有权终止合同并由监理人承担给委托人造成的一切损失。</w:t>
      </w:r>
    </w:p>
    <w:p w14:paraId="1C006AA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5、监理人应严格按时审核、计量好所有工程量，对各阶段、各分部分项工作均需留下图、影、文字等记录资料。根据完成工程量和合格质量评定单，由监理人总监理工程师 会同委托人现场负责人签署工程进度付款通知书。监理人应对承包人申报工程进度款严格把关，如出现多付工程进度款并造成委托人损失的，监理人应赔偿委托人等同的金额。</w:t>
      </w:r>
    </w:p>
    <w:p w14:paraId="47D8EB6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6、承包人提出的各项变更签证、核定单、付款单等，需经监理人核定，如经监理人核定过的结算单，委托人送审后核减额超过5%，则由委托人按超出部分的 5%扣除监理费。</w:t>
      </w:r>
    </w:p>
    <w:p w14:paraId="4A486A3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7、工程施工过程中各项工程变更、签证，在提交监理人后，监理人应于 5 个工作日内审核完毕。如遇特殊情况需要延长审核日期，须与委托人协商处理。</w:t>
      </w:r>
    </w:p>
    <w:p w14:paraId="0266F7A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8、监理人应督促施工方并协助委托人落实工程资料的收集整理，归档装订，并达到城建档案归档要求和质监站的备案要求。建立施工过程的监理档案，在工程竣工验收一个月内，报送一套完整监理资料给委托人，监理资料一式肆份（原件）。必须在工程竣工后一个月内完善竣工资料报委托人。否则，按照 </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en-US"/>
        </w:rPr>
        <w:t>万元/月核减监理费（非监理人原因除外）。</w:t>
      </w:r>
    </w:p>
    <w:p w14:paraId="65CD133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9、监理人负责审查核验委托人、承包人提供的材料和设备清单及所列的规格、数量、型号及质量是否符合设计要求，对不符合设计和国家规范标准要求的材料和设备，在征得委托人同意后，有权责令退场。</w:t>
      </w:r>
    </w:p>
    <w:p w14:paraId="1C16DDF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10、监理人应负责核检用于工程建设的进场材料、构配件、半成品及使用情况，并按规定进行监理见证取样试验。按规范要求对工序材料进行监督取样和留取相应的试块、试件、样品等。有权责令不合格材料和不合格半成品构件限期退场。一旦不合格材料、构配件用于工程造成质量问题或事故，监理人须承担相关责任和经济赔偿，特殊情况在征得委托人书面同意后可先使用后检测。</w:t>
      </w:r>
    </w:p>
    <w:p w14:paraId="7914A31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11、本工程中使用各特殊工艺、重要的部位及新材料、新产品、新工艺、新技术应用应取得委托人的批准，由监理人按质量标准、工艺操作要求监督实施，并按质量标准和检 验要求进行质量验收和检验，把好样板审核关，明确工艺流程和质量标准，经审查合格后方可大面积展开。</w:t>
      </w:r>
    </w:p>
    <w:p w14:paraId="1D1C612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12、监理人应对工程加强事前监理，在分部分项工程施工前，应要求承包人上报施工方案及所采取的措施，经监理人审核报委托人同意后方可实施。</w:t>
      </w:r>
    </w:p>
    <w:p w14:paraId="4ADB9C3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13、监理人应督促、检查承包人严格按照国家技术标准，省、市、地方规程以及设计图纸和文件要求进行施工。因监理失职所造成的经济损失或返工，由监理人承担因此造成的相应责任和经济损失。</w:t>
      </w:r>
    </w:p>
    <w:p w14:paraId="3D30FE1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14、监理人牵头组织检查现场的安全防护和卫生设施及文明施工，指导现场安全保卫工作，严格加强对承包人的安全生产管理和现场的安全监督，确保安全生产。</w:t>
      </w:r>
    </w:p>
    <w:p w14:paraId="69C2F9A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15、承包人报验的隐蔽工程，须经监理人验收同意后方可隐蔽施工，并留有影像资料。若因监理人失职造成隐蔽施工不符合图纸、变更及规范要求，由监理人承担违约责任。</w:t>
      </w:r>
    </w:p>
    <w:p w14:paraId="15CF353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16、监理人应对施工过程进行全过程监理，及时发现施工过程中所出现的问题，认真落实监理工作，对整个施工阶段的全过程进行监理，严把质量关，旁站跟踪检查，做到事前有布置，事中有检查，事后有总结。</w:t>
      </w:r>
    </w:p>
    <w:p w14:paraId="7870E5C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17、监理人员应根据现场进度情况，即时进行检查验收，以确保承包人能及时转入到下一步工序的施工。</w:t>
      </w:r>
    </w:p>
    <w:p w14:paraId="158ED22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18、所有需要监理签字认可的工程资料，除驻工地监理工程师签字外，总监理工程师必须审核签字。按相关规定无</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en-US"/>
        </w:rPr>
        <w:t>总监理工程师签字的资料除外。</w:t>
      </w:r>
    </w:p>
    <w:p w14:paraId="3CEE9AA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监理人员存在下列情形之一的，委托人有权要求监理人随时更换监理人员，监理人应在一周内无条件更换，及时满足委托人的服务需求。否则，即被视为违约，委托人有权终止合同，监理人应对因此造成的损失进行赔偿。</w:t>
      </w:r>
    </w:p>
    <w:p w14:paraId="76F5193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19.1 现场监理人员不服从委托人工作人员管理的；</w:t>
      </w:r>
    </w:p>
    <w:p w14:paraId="3887E19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19.2 监理人在合同履行期间不能及时、保质、保量的完成监理工程范围及合同、</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lang w:val="en-US" w:eastAsia="en-US"/>
        </w:rPr>
        <w:t>文件内的所有监理业务的；</w:t>
      </w:r>
    </w:p>
    <w:p w14:paraId="329A2A3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19.3 不能完成委托人交办的属于监理人工作范围内的任务；</w:t>
      </w:r>
    </w:p>
    <w:p w14:paraId="49BBBA7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19.4 不能维护委托人的合法权益和满足委托人的服务需求；</w:t>
      </w:r>
    </w:p>
    <w:p w14:paraId="613F390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19.5 双方确认的监理人员工作过失达三次者；</w:t>
      </w:r>
    </w:p>
    <w:p w14:paraId="1601956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19.6 委托人认为不合适的监理人员。</w:t>
      </w:r>
    </w:p>
    <w:p w14:paraId="06E63A4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20、监理人与委托人、承包人的一切工作联系必须采用书面方式。对于特殊及紧急情况下处理的事情须在事后及时补办书面手续。</w:t>
      </w:r>
    </w:p>
    <w:p w14:paraId="7A64ABC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21、监理人在监管中如现场人员不能满足委托人的要求，而监理人又派不出合适人员时，委托人可代监理人另行安排其它监理公司的有关专业人员进场协助监理工作，费用将 从监理人的监理费中扣除。</w:t>
      </w:r>
    </w:p>
    <w:p w14:paraId="3D7FD2B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22、本协议各项违约责任可同时计取违约金，每次违约金在会议纪要中明确，由委托人在监理费中扣除。</w:t>
      </w:r>
    </w:p>
    <w:p w14:paraId="68832E2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23、监理工作中的主要监理人员应自行配备通信联络工具且要保证 24 小时联络畅通， 上下班交通由监理人自行解决。</w:t>
      </w:r>
    </w:p>
    <w:p w14:paraId="2306381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24、监理人必须在收到图纸、勘察资料等技术文件后 14 日内向委托人提供针对本工程特点、重点、难点的《监理规划》。多阶段制订详细的、有针对性的现场监理实施细则，和工程需要的专题监理实施细则，经委托人审核批准后执行，委托人以此具体考核监理人的监理工作。如委托人要求监理人对《监理规划》等进行调整，监理人必须在一周内完成调整，并报委托人审批每个分部工程开工前须提交一份该分部工程的质量通病或可能产生的质量问题、采取的预防措施和施工过程中有针对性的办法。</w:t>
      </w:r>
    </w:p>
    <w:p w14:paraId="49B2926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25、在工程开工前，总监理工程师应组织各专业监理人员对工程设计交底会前的设计文件进行详细的审查。重点审查各专业施工图纸出现遗漏、缺项、错误，并就存在的问题分类列出，向委托人提出书面意见和建议。保证施工过程中能按图施工，最大限度地减少施工过程中的设计变更。审查过程中未发现图纸存在明显错误，每次每项扣减 2000 元。</w:t>
      </w:r>
    </w:p>
    <w:p w14:paraId="21C61DD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26、施工过程中监理人应对施工图纸的错误及时提出意见，并根据现场的实际施工情况，每月向委托人上报施工图纸的存在问题修改的情况。未尽监理职责，对施工图纸出现重大错误未发现或未提出意见的，每处扣减 1000 元监理费。</w:t>
      </w:r>
    </w:p>
    <w:p w14:paraId="414FBC4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27、监理人根据施工图纸、国家相关施工规范的要求严格监理施工质量，督促施工单位确保工程合格率为 100%。</w:t>
      </w:r>
    </w:p>
    <w:p w14:paraId="0589952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28、现场监理工程师应使用自备仪器（全站仪、测距仪、铅垂仪、水平仪等）独立测量，复核承包人报送的控制桩的校核成果、控制桩的保护措施以及平面控制网、高程控制网核临时水准点的测量成果，保证测量精度。如果测量精度存在错误，监理人在复核过程 中未能发现的，每次扣减 3000 元监理费。检测仪器及设备等未按工程需要的数量、规格、时间进场的，每件每日扣减 1000 元监理费。 </w:t>
      </w:r>
    </w:p>
    <w:p w14:paraId="4CB05FC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29、监理人在开工后，应及时制定承包人管理及工程质量管理的细则提交委托人。并定期（每月）进行一次考核，将考核情况上报给委托人。 </w:t>
      </w:r>
    </w:p>
    <w:p w14:paraId="3E5BCBD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30、监理人应监督和定期（每天一次）检查施工总包单位现场施工的安全、文明措施并作好记录，有隐患及时要求相关单位整改，同时向委托人汇报。在施工过程中严格执行 省安全文明施工管理条例。每周向委托人做一次书面汇报。</w:t>
      </w:r>
    </w:p>
    <w:p w14:paraId="61A5689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31、监理人应监督施工单位按照施工组织设计中的安全技术措施和安全专项施工方案组织施工，及时制止违规施工作业。</w:t>
      </w:r>
    </w:p>
    <w:p w14:paraId="13C2C5F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32、监理人应派专人对施工现场安全生产情况进行巡视检查，对发现的各类安全隐患， 应书面通知承包人，并督促其立即整改；情况严重的，监理人应及时下达工程暂停令，要求承包人停工整改，并同时报告委托人。安全事故隐患消除后，监理人应检查整改结果，签署复查或复工意见。承包人拒不整改或不停工整改的，监理人应当及时向委托人和工程所在地建设行政主管部门或工程项目的行业主管部门报告，检查、整改、复查、报告等情况应当记载在监理日记、监理月报中。监理人没有及时下达书面指令要求承包人进行整改或停止施工的，没有采取有效措施的，造成损失的，应承担相应责任（法律、经济等）。</w:t>
      </w:r>
    </w:p>
    <w:p w14:paraId="0439BA4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33、监理人负责隐蔽工程验收、中间验收和竣工初验，并监督整改。保留隐蔽工程验收、中间验收的影像资料提供给委托人。若因监理人原因造成未进行隐蔽工程验收的，一经查实处罚2000元/次。</w:t>
      </w:r>
    </w:p>
    <w:p w14:paraId="38014F5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34、监理人协助相关单位进行单位工程竣工验收工作，协助相关单位进行全部工程竣工验收工作，审核竣工图，竣工工程的实体和资料的移交工作。</w:t>
      </w:r>
    </w:p>
    <w:p w14:paraId="3C6FCD9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35、监理人审查各承包单位编制的竣工资料、竣工图，保证其正确无误，并及时提交委托人。</w:t>
      </w:r>
    </w:p>
    <w:p w14:paraId="3164FFA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36、监理人协助委托人组织施工总包单位、设计单位研究处理工程质量、安全事故，监督整改方案的实施，并监督检查整改工作实施。</w:t>
      </w:r>
    </w:p>
    <w:p w14:paraId="37FB125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37、监理人定期（每月）负责审查工程的资料归档及竣工验收工作，确保资料和工程同步，委托人不定期对其每月的工作进行检查，发现一次不符合要求处罚一次（处罚金额 1000 元），工程竣工验收时，如因资料原因造成的损失，监理人应承担全部责任。工程监理资料收集不齐、管理混乱的，扣减 5000 元监理费；缺损应由监理人存档的原始记录，每件文件扣减 1000 元监理费。 </w:t>
      </w:r>
    </w:p>
    <w:p w14:paraId="4E04FB9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38、监理人应审核承包人提出工程总进度计划，对总进度计划是否满足规定的竣工日期的要求提出意见。 </w:t>
      </w:r>
    </w:p>
    <w:p w14:paraId="6E3331A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39、监理人在总进度计划的前提下，审核施工单位月、周进度计划的可行性，并且起到预警作用。如发现执行过程中不能完成工程计划时，应检查分析原因，督促承包人及时 调整计划和采取补救措施，以保证工程进度的实现，向委托人提供书面分析报告。如监理人未采取有效措施，委托人有权对其处罚（1000 元/次）。</w:t>
      </w:r>
    </w:p>
    <w:p w14:paraId="2DE14F4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40、事前由各相关方共同确认的工程施工的关键线路工期因承包人原因比计划滞后 5日以上（包括 5 日），监理人未及时预见、未及时提出整改措施，未及时监督承包人整改，未及时向总监理工程师、委托人报告，对整个工程的按期完工不能起到监管作用，处罚监理人 2000 元/次。</w:t>
      </w:r>
    </w:p>
    <w:p w14:paraId="7E48CDF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41、监理人复核施工总包单位工程月报及已完工程量，审核承包人已完工程数量（月报、工程签证），准确率应达到 95%以上，并提出书面意见，如不能满足要求，每发现一次，处罚 2000 元/次。</w:t>
      </w:r>
    </w:p>
    <w:p w14:paraId="71109B3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42、监理人协助各方进行现场技术核定，审核工程签证的工程量和价格。对可能产生额外工程量地方及时报告委托人，对超出承包合同之外的设计修改审查，涉及费用的及时 提建议给委托人并征得委托人签证认可方为有效。现场签证资料需要委托人、监理、承包人，共同现场签字方为有效。</w:t>
      </w:r>
    </w:p>
    <w:p w14:paraId="43BC065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43、 对于承包人提交的现场签证资料，监理人未有准确、真实的现场原始记录或不进行现场复核就给予签认，经委托人检查发现签认的文件有误的，除必须立即改正外，处 罚监理人 1000 元/次。对签证错误有可能给委托人造成直接经济损失 5000 元以上的按严重违约处理。</w:t>
      </w:r>
    </w:p>
    <w:p w14:paraId="4DFA795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44、监理人会签有关各种设计变更，应侧重审查对工程质量、进度、成本控制是否有不利影响，如发现有不利影响时，应明确提出监理意见，及时向委托人反映。</w:t>
      </w:r>
    </w:p>
    <w:p w14:paraId="5F7D5D0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47、监理</w:t>
      </w:r>
      <w:r>
        <w:rPr>
          <w:rFonts w:hint="eastAsia" w:ascii="宋体" w:hAnsi="宋体" w:cs="宋体"/>
          <w:color w:val="auto"/>
          <w:sz w:val="24"/>
          <w:szCs w:val="24"/>
          <w:highlight w:val="none"/>
          <w:lang w:val="en-US" w:eastAsia="zh-CN"/>
        </w:rPr>
        <w:t>磋商文件</w:t>
      </w:r>
      <w:r>
        <w:rPr>
          <w:rFonts w:hint="eastAsia" w:ascii="宋体" w:hAnsi="宋体" w:eastAsia="宋体" w:cs="宋体"/>
          <w:color w:val="auto"/>
          <w:sz w:val="24"/>
          <w:szCs w:val="24"/>
          <w:highlight w:val="none"/>
          <w:lang w:val="en-US" w:eastAsia="en-US"/>
        </w:rPr>
        <w:t>与</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eastAsia="en-US"/>
        </w:rPr>
        <w:t>文件均为本合同组成部分，与本合同具有同等法律效力，内容不一致的，以本合同为准。</w:t>
      </w:r>
    </w:p>
    <w:p w14:paraId="6D0C2EF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48、监理机构人员情况约定</w:t>
      </w:r>
    </w:p>
    <w:p w14:paraId="60CDB32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48.1 监理人须在签订合同时，向委托人提供“项目工程工程监理派驻现场主要人员情况表”。</w:t>
      </w:r>
    </w:p>
    <w:p w14:paraId="1C4F9AB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48.2 监理人在每一施工阶段开始前 1 个月，应向委托人提报该阶段人员配备情况表，经委托人书面确认后作为该阶段的派驻人员。</w:t>
      </w:r>
    </w:p>
    <w:p w14:paraId="0119C62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每阶段派驻人员表中的人员，原则上应是相应专业的人员为骨干组成。</w:t>
      </w:r>
    </w:p>
    <w:p w14:paraId="48611F7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48.3 监理单位的总监理工程师和安全监理人员需经安全生产教育培训，考试合格后方可上岗，其安全教育培训合格证在进场时提供。</w:t>
      </w:r>
    </w:p>
    <w:p w14:paraId="094BE95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49、本合同履行过程中，如乙方违约，乙方应按甲方要求采取改正措施，并承担相应责任，甲方有索赔相关费用的权利；如乙方严重违约致使合同目的无法实现的，甲方有权 解除、终止合同，乙方应赔偿甲方相应损失。</w:t>
      </w:r>
    </w:p>
    <w:p w14:paraId="497AF09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50、双方在本合同履行过程中，可以签定补充或修正文件，补充或修正文件与本合同具有同等法律效力，内容不一致的，以时间在后的文件为准。</w:t>
      </w:r>
    </w:p>
    <w:p w14:paraId="10F0BD3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51、在项目管理过程中，对于施工单位上报的确需监理人提出合理性、有针对性意见的请示文件，监理人不得出现情况属实、无意见、请委托人决定或直接签字等模棱两可、含义不明的批示。</w:t>
      </w:r>
    </w:p>
    <w:p w14:paraId="1370382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kern w:val="2"/>
          <w:sz w:val="24"/>
          <w:szCs w:val="24"/>
          <w:highlight w:val="none"/>
          <w:lang w:val="en-US" w:eastAsia="en-US" w:bidi="ar-SA"/>
        </w:rPr>
      </w:pPr>
      <w:r>
        <w:rPr>
          <w:rFonts w:hint="eastAsia" w:ascii="宋体" w:hAnsi="宋体" w:eastAsia="宋体" w:cs="宋体"/>
          <w:b/>
          <w:bCs/>
          <w:color w:val="auto"/>
          <w:kern w:val="2"/>
          <w:sz w:val="24"/>
          <w:szCs w:val="24"/>
          <w:highlight w:val="none"/>
          <w:lang w:val="en-US" w:eastAsia="en-US" w:bidi="ar-SA"/>
        </w:rPr>
        <w:t>附加安全协议条款：</w:t>
      </w:r>
    </w:p>
    <w:p w14:paraId="6C0D99A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施工准备阶段安全监理的主要工作内容</w:t>
      </w:r>
    </w:p>
    <w:p w14:paraId="42B0A0D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 1、监理单位应根据《条例》的规定，按照工程建设强制性标准、《建设工程监理规范》（GB50319）和相关行业监理规范的要求，编制包括安全监理内容的项目监理规划，明确安全监理的范围、内容、工作程序和制度措施，以及人员配备计划和职责等。</w:t>
      </w:r>
    </w:p>
    <w:p w14:paraId="1AFC324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2、对中型及以上项目和《条例》第二十六条规定的危险性较大的分部分项工程，监理单位应当编制监理实施细则。实施细则应当明确安全监理的方法、措施和控制要点，以 及对施工单位安全技术措施的检查方案。</w:t>
      </w:r>
    </w:p>
    <w:p w14:paraId="25F412A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3、审查施工单位编制的施工组织设计中的安全技术措施和危险性较大的分部分项工程安全专项施工方案是否符合工程建设强制性标准要求。审查的主要内容应当包括：</w:t>
      </w:r>
    </w:p>
    <w:p w14:paraId="40E382C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（1）施工现场临时用电施工组织设计或者安全用电技术措施和电气防火措施是否符合强制性标准要求；</w:t>
      </w:r>
    </w:p>
    <w:p w14:paraId="2F80B39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en-US"/>
        </w:rPr>
        <w:t>）冬季、雨季等季节性施工方案的制定是否符合强制性标准要求；</w:t>
      </w:r>
    </w:p>
    <w:p w14:paraId="7EFD504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en-US"/>
        </w:rPr>
        <w:t>）施工总平面布置图是否符合安全生产的要求，办公、宿舍、食堂、道路等临时设施设置以及排水、防火措施是否符合强制性标准要求。</w:t>
      </w:r>
    </w:p>
    <w:p w14:paraId="0C7E952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4、检查施工单位在工程项目上的安全生产规章制度和安全监管机构的建立、健全及专职安全生产管理人员配备情况，督促施工单位检查各分包单位的安全生产规章制度的建 立情况。</w:t>
      </w:r>
    </w:p>
    <w:p w14:paraId="67D5CF67">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5、审查施工单位资质和安全生产许可证是否合法有效。</w:t>
      </w:r>
    </w:p>
    <w:p w14:paraId="464ACAB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6、审查项目经理和专职安全生产管理人员是否具备合法资格，是否与</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eastAsia="en-US"/>
        </w:rPr>
        <w:t>文件相一致。</w:t>
      </w:r>
    </w:p>
    <w:p w14:paraId="15173D5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7、审核特种作业人员的特种作业操作资格证书是否合法有效。</w:t>
      </w:r>
    </w:p>
    <w:p w14:paraId="2963DA1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8、审核施工单位应急救援预案和安全防护措施费用使用计划。</w:t>
      </w:r>
    </w:p>
    <w:p w14:paraId="489BE77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（二）施工阶段安全监理的主要工作内容</w:t>
      </w:r>
    </w:p>
    <w:p w14:paraId="174B4B5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 xml:space="preserve">1、监督施工单位按照施工组织设计中的安全技术措施和专项施工方案组织施工，及时制止违规施工作业。 </w:t>
      </w:r>
    </w:p>
    <w:p w14:paraId="3BCCCD8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2、定期巡视检查施工过程中的危险性较大工程作业情况。</w:t>
      </w:r>
    </w:p>
    <w:p w14:paraId="2BC1906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3、核查施工现场施工起重机械、整体提升脚手架、模板等自升式架设设施和安全设施的验收手续。</w:t>
      </w:r>
    </w:p>
    <w:p w14:paraId="7E79F8A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4、检查施工现场各种安全标志和安全防护措施是否符合强制性标准要求，并检查安全生产费用的使用情况。</w:t>
      </w:r>
    </w:p>
    <w:p w14:paraId="1DCAC72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5、督促施工单位进行安全自查工作，并对施工单位自查情况进行抽查，参加建设单位组织的安全生产专项检查。</w:t>
      </w:r>
    </w:p>
    <w:p w14:paraId="03C3AED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二、建设工程安全监理的工作程序</w:t>
      </w:r>
    </w:p>
    <w:p w14:paraId="6A4F9117">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（一）监理单位按照《建设工程监理规范》和相关行业监理规范要求，编制含有安全监理内容的监理规划和监理实施细则。</w:t>
      </w:r>
    </w:p>
    <w:p w14:paraId="0D72655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（二）在施工准备阶段，监理单位审查核验施工单位提交的有关技术文件及资料，并由项目总监在有关技术文件报审表上签署意见；审查未通过的，安全技术措施及专项施工方案不得实施。</w:t>
      </w:r>
    </w:p>
    <w:p w14:paraId="0A40241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三）在施工阶段，监理单位应对施工现场安全生产情况进行巡视检查，对发现的各类安全事故隐患，应书面通知施工单位，并督促其立即整改；情况严重的，监理单位应及时下达工程暂停令，要求施工单位停工整改，并同时报告建设单位。安全事故隐患消除后， 监理单位应检查整改结果，签署复查或复工意见。施工单位拒不整改或不停工整改的，监理单位应当及时向工程所在地建设主管部门或工程项目的行业主管部门报告，以电话形式报告的，应当有通话记录，并及时补充书面报告。检查、整改、复查、报告等情况应记载在监理日志、监理月报中。监理单位应核查施工单位提交的施工起重机械、整体提升脚手架、模板等自升式架设设施和安全设施等验收记录，并由安全监理人员签收备案。</w:t>
      </w:r>
    </w:p>
    <w:p w14:paraId="67E9B0D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（四）工程竣工后，监理单位应将有关安全生产的技术文件、验收记录、监理规划、监理实施细则、监理月报、监理会议纪要及相关书面通知等按规定立卷归档。</w:t>
      </w:r>
    </w:p>
    <w:p w14:paraId="6279162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三、建设工程安全生产的监理责任</w:t>
      </w:r>
    </w:p>
    <w:p w14:paraId="3A3EA94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（一）监理单位应对施工组织设计中的安全技术措施或专项施工方案进行审查，未进行审查的，监理单位应承担《条例》第五十七条规定的法律责任。</w:t>
      </w:r>
    </w:p>
    <w:p w14:paraId="1C8F0AC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施工组织设计中的安全技术措施或专项施工方案未经监理单位审查签字认可，施工单位擅自施工的，监理单位应及时下达工程暂停令，并将情况及时书面报告建设单位。监理单位未及时下达工程暂停令并报告的，应承担《条例》第五十七条规定的法律责任。</w:t>
      </w:r>
    </w:p>
    <w:p w14:paraId="7D45820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二）监理单位在监理巡视检查过程中，发现存在安全事故隐患的，应按照有关规定及时下达书面指令要求施工单位进行整改或停止施工。监理单位发现安全事故隐患没有及时下达书面指令要求施工单位进行整改或停止施工的，应承担《条例》第五十七条规定的 法律责任。</w:t>
      </w:r>
    </w:p>
    <w:p w14:paraId="53CB5E3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三）施工单位拒绝按照监理单位的要求进行整改或者停止施工的，监理单位应及时将情况向当地建设主管部门或工程项目的行业主管部门报告。监理单位没有及时报告，应承担《条例》第五十七条规定的法律责任。</w:t>
      </w:r>
    </w:p>
    <w:p w14:paraId="70341FA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（四）监理单位未依照法律、法规和工程建设强制性标准实施监理的，应当承担《条例》第五十七条规定的法律责任。</w:t>
      </w:r>
    </w:p>
    <w:p w14:paraId="5E78585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监理单位履行了上述规定的职责，施工单位未执行监理指令继续施工或发生安全事故的，应依法追究监理单位以外的其他相关单位和人员的法律责任</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en-US"/>
        </w:rPr>
        <w:t xml:space="preserve"> </w:t>
      </w:r>
    </w:p>
    <w:p w14:paraId="45DA0F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kern w:val="2"/>
          <w:sz w:val="24"/>
          <w:szCs w:val="24"/>
          <w:highlight w:val="none"/>
          <w:lang w:val="en-US" w:eastAsia="en-US" w:bidi="ar-SA"/>
        </w:rPr>
      </w:pPr>
      <w:r>
        <w:rPr>
          <w:rFonts w:hint="eastAsia" w:ascii="宋体" w:hAnsi="宋体" w:eastAsia="宋体" w:cs="宋体"/>
          <w:b/>
          <w:bCs/>
          <w:color w:val="auto"/>
          <w:kern w:val="2"/>
          <w:sz w:val="24"/>
          <w:szCs w:val="24"/>
          <w:highlight w:val="none"/>
          <w:lang w:val="en-US" w:eastAsia="en-US" w:bidi="ar-SA"/>
        </w:rPr>
        <w:t>有关合同双方廉政责任的约定</w:t>
      </w:r>
    </w:p>
    <w:p w14:paraId="1C4297C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en-US" w:bidi="ar-SA"/>
        </w:rPr>
        <w:t>第一条 委托人监理人双方责任：</w:t>
      </w:r>
    </w:p>
    <w:p w14:paraId="65DD92F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1.应严格遵守国家关于市场准入、项目招标投标、建设、工程监理和市场活动等有关法律、法规，相关政策，以及廉政建设的各项规定。</w:t>
      </w:r>
    </w:p>
    <w:p w14:paraId="149095C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2.严格执行建设工程项目承发包合同文件，自觉按合同办事。</w:t>
      </w:r>
    </w:p>
    <w:p w14:paraId="70BD6C7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3.业务活动必须坚持公开、公平、公正、诚信、透明的原则（除法律法规另有规定者外），不得为获取不正当的利益，损害国家、集体和对方利益，不得违反工程建设管理、建设监理的规章制度。</w:t>
      </w:r>
    </w:p>
    <w:p w14:paraId="0948433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4.发现对方在业务活动中有违规、违纪、违法行为的，应及时提醒对方，情节严重的， 应向其上级主管部门或纪检监察、司法等有关机关举报。</w:t>
      </w:r>
    </w:p>
    <w:p w14:paraId="3787B02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第二条 委托人责任委托人的领导和从事该建设工程项目的工作人员在工程建设的事前、事中、事后应遵守以下规定：</w:t>
      </w:r>
    </w:p>
    <w:p w14:paraId="0ADB75D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1.不准向监理人和相关单位索要或接受回扣、礼金、有价证券、贵重物品和好处费、感谢费等。</w:t>
      </w:r>
    </w:p>
    <w:p w14:paraId="1EE8E34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2.不准在监理人和相关单位报销任何应由委托人或个人支付的费用。</w:t>
      </w:r>
    </w:p>
    <w:p w14:paraId="148D2BF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3.不准要求、暗示或接受监理人和相关单位为个人装修住房、婚丧嫁娶、配偶子女的工作安排以及出国（境）、旅游等提供方便。</w:t>
      </w:r>
    </w:p>
    <w:p w14:paraId="768CA73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4.不准参加有可能影响公正执行公务的监理人和相关单位的宴请、健身、娱乐等活动。</w:t>
      </w:r>
    </w:p>
    <w:p w14:paraId="7BDB8F2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不准向乙方和相关单位介绍或为配偶、子女、亲属参与同委托人工程项目合同有关的监理分包项目等活动。不准向乙方和相关单位介绍或为配偶、子女、亲属参与同项目工程合同有关的设备、材料、工程分包、劳务等经济活动。不得以任何理由向监理人和相关单位推荐分包单位和要求购买与项目工程合同规定以外的材料、设备等。</w:t>
      </w:r>
    </w:p>
    <w:p w14:paraId="08FF046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第三条 监理人责任应与委托人和相关单位保持正常的业务交往，按照有关法律法规和程序开展业务工作，严格执行工程建设的方针、政策，尤其是有关勘察设计、建筑施工安装的强制性标准和规范，以及监理法规，认真履行监理职责，并遵守以下规定：</w:t>
      </w:r>
    </w:p>
    <w:p w14:paraId="2F8CF52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1.不准以任何理由向委托人和相关单位及其工作人员索要、接受或赠送礼金、有价证券、贵重物品及回扣、好处费、感谢费等。</w:t>
      </w:r>
    </w:p>
    <w:p w14:paraId="394C2E5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2. 不准以任何理由为委托人和相关单位报销应由对方或个人支付的费用。</w:t>
      </w:r>
    </w:p>
    <w:p w14:paraId="24788C6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3.不准接受或暗示为委托人、相关单位或个人装修住房、婚丧嫁娶、配偶子女的工作安排以及出国（境）、旅游等提供方便。</w:t>
      </w:r>
    </w:p>
    <w:p w14:paraId="65F94F8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4.不准违反合同约定而使用委托人、相关单位提供的通信、交通工具和高档办公用品。</w:t>
      </w:r>
    </w:p>
    <w:p w14:paraId="25D79A5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5.不准以任何理由为委托人、相关单位或个人组织有可能影响公正执行公务的宴请、健身、娱乐等活动。</w:t>
      </w:r>
    </w:p>
    <w:p w14:paraId="0150600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第四条 违约责任 委托人工作人员有违反第一、二条责任行为的，监理人工作人员有违反第一、三条责任行为的，按照管理权限，依据有关法律法规和规定给予党纪、政纪处分或组织处理；涉嫌犯罪的，移交司法机关追究刑事责任；给对方单位造成经济损失的，应给予赔偿。</w:t>
      </w:r>
    </w:p>
    <w:p w14:paraId="706E4ED9">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kern w:val="2"/>
          <w:sz w:val="24"/>
          <w:szCs w:val="24"/>
          <w:highlight w:val="none"/>
          <w:u w:val="single"/>
          <w:lang w:val="en-US" w:eastAsia="zh-CN" w:bidi="ar-SA"/>
        </w:rPr>
      </w:pPr>
    </w:p>
    <w:p w14:paraId="3DA8D906">
      <w:pPr>
        <w:spacing w:line="360" w:lineRule="auto"/>
        <w:rPr>
          <w:rFonts w:hint="eastAsia" w:ascii="宋体" w:hAnsi="宋体" w:eastAsia="宋体" w:cs="宋体"/>
          <w:b w:val="0"/>
          <w:bCs w:val="0"/>
          <w:color w:val="auto"/>
          <w:kern w:val="2"/>
          <w:sz w:val="24"/>
          <w:szCs w:val="24"/>
          <w:highlight w:val="none"/>
          <w:u w:val="single"/>
          <w:lang w:val="en-US" w:eastAsia="zh-CN" w:bidi="ar-SA"/>
        </w:rPr>
      </w:pPr>
    </w:p>
    <w:p w14:paraId="3557D78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（注：本</w:t>
      </w:r>
      <w:r>
        <w:rPr>
          <w:rFonts w:hint="eastAsia" w:ascii="宋体" w:hAnsi="宋体" w:eastAsia="宋体" w:cs="宋体"/>
          <w:b/>
          <w:bCs/>
          <w:color w:val="auto"/>
          <w:sz w:val="24"/>
          <w:szCs w:val="24"/>
          <w:highlight w:val="none"/>
          <w:lang w:val="en-US" w:eastAsia="zh-CN"/>
        </w:rPr>
        <w:t>合同协议书</w:t>
      </w:r>
      <w:r>
        <w:rPr>
          <w:rFonts w:hint="eastAsia" w:ascii="宋体" w:hAnsi="宋体" w:eastAsia="宋体" w:cs="宋体"/>
          <w:b/>
          <w:bCs/>
          <w:color w:val="auto"/>
          <w:sz w:val="24"/>
          <w:szCs w:val="24"/>
          <w:highlight w:val="none"/>
        </w:rPr>
        <w:t>为参考文本，在此基础上，协议</w:t>
      </w:r>
      <w:r>
        <w:rPr>
          <w:rFonts w:hint="eastAsia" w:ascii="宋体" w:hAnsi="宋体" w:eastAsia="宋体" w:cs="宋体"/>
          <w:b/>
          <w:bCs/>
          <w:color w:val="auto"/>
          <w:sz w:val="24"/>
          <w:szCs w:val="24"/>
          <w:highlight w:val="none"/>
          <w:lang w:val="en-US" w:eastAsia="zh-CN"/>
        </w:rPr>
        <w:t>各</w:t>
      </w:r>
      <w:r>
        <w:rPr>
          <w:rFonts w:hint="eastAsia" w:ascii="宋体" w:hAnsi="宋体" w:eastAsia="宋体" w:cs="宋体"/>
          <w:b/>
          <w:bCs/>
          <w:color w:val="auto"/>
          <w:sz w:val="24"/>
          <w:szCs w:val="24"/>
          <w:highlight w:val="none"/>
        </w:rPr>
        <w:t>方可根据项目的实际情况和具体要求进行修改补充。）</w:t>
      </w:r>
    </w:p>
    <w:p w14:paraId="15565F3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val="0"/>
          <w:bCs w:val="0"/>
          <w:color w:val="auto"/>
          <w:kern w:val="2"/>
          <w:sz w:val="24"/>
          <w:szCs w:val="24"/>
          <w:highlight w:val="none"/>
          <w:u w:val="single"/>
          <w:lang w:val="en-US" w:eastAsia="zh-CN" w:bidi="ar-SA"/>
        </w:rPr>
        <w:br w:type="page"/>
      </w:r>
      <w:r>
        <w:rPr>
          <w:rFonts w:hint="eastAsia" w:ascii="宋体" w:hAnsi="宋体" w:eastAsia="宋体" w:cs="宋体"/>
          <w:b/>
          <w:bCs/>
          <w:color w:val="auto"/>
          <w:sz w:val="24"/>
          <w:szCs w:val="24"/>
          <w:highlight w:val="none"/>
        </w:rPr>
        <w:t>附录1  其他相关服务的范围和内容</w:t>
      </w:r>
    </w:p>
    <w:p w14:paraId="0081AC5A">
      <w:pPr>
        <w:snapToGrid w:val="0"/>
        <w:spacing w:before="120" w:beforeLines="50" w:after="120"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A-1 勘察阶段：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409F553">
      <w:pPr>
        <w:snapToGrid w:val="0"/>
        <w:spacing w:before="120" w:beforeLines="50" w:after="120"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 设计阶段：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1C5180B">
      <w:pPr>
        <w:snapToGrid w:val="0"/>
        <w:spacing w:before="120" w:beforeLines="50" w:after="120"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A-3 保修阶段：</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9852BE">
      <w:pPr>
        <w:snapToGrid w:val="0"/>
        <w:spacing w:before="120" w:beforeLines="50" w:after="120"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A-4 </w:t>
      </w:r>
      <w:r>
        <w:rPr>
          <w:rFonts w:hint="eastAsia" w:ascii="宋体" w:hAnsi="宋体" w:eastAsia="宋体" w:cs="宋体"/>
          <w:color w:val="auto"/>
          <w:sz w:val="24"/>
          <w:szCs w:val="24"/>
          <w:highlight w:val="none"/>
        </w:rPr>
        <w:t>其他（专业技术咨询、外部协调工作等）。</w:t>
      </w:r>
    </w:p>
    <w:p w14:paraId="68B48843">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附录2  委托人派遣的人员和提供的房屋、资料、设备</w:t>
      </w:r>
    </w:p>
    <w:p w14:paraId="2D6F0E21">
      <w:pPr>
        <w:spacing w:before="120" w:beforeLines="50"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B-1  委托人派遣的人员</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9"/>
        <w:gridCol w:w="1846"/>
        <w:gridCol w:w="2222"/>
        <w:gridCol w:w="1940"/>
      </w:tblGrid>
      <w:tr w14:paraId="4BED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929" w:type="dxa"/>
            <w:noWrap w:val="0"/>
            <w:vAlign w:val="top"/>
          </w:tcPr>
          <w:p w14:paraId="3A011B6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1846" w:type="dxa"/>
            <w:noWrap w:val="0"/>
            <w:vAlign w:val="top"/>
          </w:tcPr>
          <w:p w14:paraId="375CB5A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222" w:type="dxa"/>
            <w:noWrap w:val="0"/>
            <w:vAlign w:val="top"/>
          </w:tcPr>
          <w:p w14:paraId="2B2113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工作要求</w:t>
            </w:r>
          </w:p>
        </w:tc>
        <w:tc>
          <w:tcPr>
            <w:tcW w:w="1940" w:type="dxa"/>
            <w:noWrap w:val="0"/>
            <w:vAlign w:val="top"/>
          </w:tcPr>
          <w:p w14:paraId="63BBEC2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提供时间</w:t>
            </w:r>
          </w:p>
        </w:tc>
      </w:tr>
      <w:tr w14:paraId="100A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929" w:type="dxa"/>
            <w:noWrap w:val="0"/>
            <w:vAlign w:val="top"/>
          </w:tcPr>
          <w:p w14:paraId="547413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工程技术人员 </w:t>
            </w:r>
          </w:p>
        </w:tc>
        <w:tc>
          <w:tcPr>
            <w:tcW w:w="1846" w:type="dxa"/>
            <w:noWrap w:val="0"/>
            <w:vAlign w:val="top"/>
          </w:tcPr>
          <w:p w14:paraId="6C8CE839">
            <w:pPr>
              <w:spacing w:line="360" w:lineRule="auto"/>
              <w:rPr>
                <w:rFonts w:hint="eastAsia" w:ascii="宋体" w:hAnsi="宋体" w:eastAsia="宋体" w:cs="宋体"/>
                <w:color w:val="auto"/>
                <w:sz w:val="24"/>
                <w:szCs w:val="24"/>
                <w:highlight w:val="none"/>
              </w:rPr>
            </w:pPr>
          </w:p>
        </w:tc>
        <w:tc>
          <w:tcPr>
            <w:tcW w:w="2222" w:type="dxa"/>
            <w:noWrap w:val="0"/>
            <w:vAlign w:val="top"/>
          </w:tcPr>
          <w:p w14:paraId="1B74F70B">
            <w:pPr>
              <w:spacing w:line="360" w:lineRule="auto"/>
              <w:rPr>
                <w:rFonts w:hint="eastAsia" w:ascii="宋体" w:hAnsi="宋体" w:eastAsia="宋体" w:cs="宋体"/>
                <w:color w:val="auto"/>
                <w:sz w:val="24"/>
                <w:szCs w:val="24"/>
                <w:highlight w:val="none"/>
              </w:rPr>
            </w:pPr>
          </w:p>
        </w:tc>
        <w:tc>
          <w:tcPr>
            <w:tcW w:w="1940" w:type="dxa"/>
            <w:noWrap w:val="0"/>
            <w:vAlign w:val="top"/>
          </w:tcPr>
          <w:p w14:paraId="7E5D35F9">
            <w:pPr>
              <w:spacing w:line="360" w:lineRule="auto"/>
              <w:rPr>
                <w:rFonts w:hint="eastAsia" w:ascii="宋体" w:hAnsi="宋体" w:eastAsia="宋体" w:cs="宋体"/>
                <w:color w:val="auto"/>
                <w:sz w:val="24"/>
                <w:szCs w:val="24"/>
                <w:highlight w:val="none"/>
              </w:rPr>
            </w:pPr>
          </w:p>
        </w:tc>
      </w:tr>
      <w:tr w14:paraId="0F0C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929" w:type="dxa"/>
            <w:noWrap w:val="0"/>
            <w:vAlign w:val="top"/>
          </w:tcPr>
          <w:p w14:paraId="4FE6CC6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辅助工作人员</w:t>
            </w:r>
          </w:p>
        </w:tc>
        <w:tc>
          <w:tcPr>
            <w:tcW w:w="1846" w:type="dxa"/>
            <w:noWrap w:val="0"/>
            <w:vAlign w:val="top"/>
          </w:tcPr>
          <w:p w14:paraId="4AEF6791">
            <w:pPr>
              <w:spacing w:line="360" w:lineRule="auto"/>
              <w:rPr>
                <w:rFonts w:hint="eastAsia" w:ascii="宋体" w:hAnsi="宋体" w:eastAsia="宋体" w:cs="宋体"/>
                <w:color w:val="auto"/>
                <w:sz w:val="24"/>
                <w:szCs w:val="24"/>
                <w:highlight w:val="none"/>
              </w:rPr>
            </w:pPr>
          </w:p>
        </w:tc>
        <w:tc>
          <w:tcPr>
            <w:tcW w:w="2222" w:type="dxa"/>
            <w:noWrap w:val="0"/>
            <w:vAlign w:val="top"/>
          </w:tcPr>
          <w:p w14:paraId="76D1BD67">
            <w:pPr>
              <w:spacing w:line="360" w:lineRule="auto"/>
              <w:rPr>
                <w:rFonts w:hint="eastAsia" w:ascii="宋体" w:hAnsi="宋体" w:eastAsia="宋体" w:cs="宋体"/>
                <w:color w:val="auto"/>
                <w:sz w:val="24"/>
                <w:szCs w:val="24"/>
                <w:highlight w:val="none"/>
              </w:rPr>
            </w:pPr>
          </w:p>
        </w:tc>
        <w:tc>
          <w:tcPr>
            <w:tcW w:w="1940" w:type="dxa"/>
            <w:noWrap w:val="0"/>
            <w:vAlign w:val="top"/>
          </w:tcPr>
          <w:p w14:paraId="7C1B5F4E">
            <w:pPr>
              <w:spacing w:line="360" w:lineRule="auto"/>
              <w:rPr>
                <w:rFonts w:hint="eastAsia" w:ascii="宋体" w:hAnsi="宋体" w:eastAsia="宋体" w:cs="宋体"/>
                <w:color w:val="auto"/>
                <w:sz w:val="24"/>
                <w:szCs w:val="24"/>
                <w:highlight w:val="none"/>
              </w:rPr>
            </w:pPr>
          </w:p>
        </w:tc>
      </w:tr>
      <w:tr w14:paraId="4A07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929" w:type="dxa"/>
            <w:noWrap w:val="0"/>
            <w:vAlign w:val="top"/>
          </w:tcPr>
          <w:p w14:paraId="38B82F4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其他人员</w:t>
            </w:r>
          </w:p>
        </w:tc>
        <w:tc>
          <w:tcPr>
            <w:tcW w:w="1846" w:type="dxa"/>
            <w:noWrap w:val="0"/>
            <w:vAlign w:val="top"/>
          </w:tcPr>
          <w:p w14:paraId="79C9FBC1">
            <w:pPr>
              <w:spacing w:line="360" w:lineRule="auto"/>
              <w:rPr>
                <w:rFonts w:hint="eastAsia" w:ascii="宋体" w:hAnsi="宋体" w:eastAsia="宋体" w:cs="宋体"/>
                <w:color w:val="auto"/>
                <w:sz w:val="24"/>
                <w:szCs w:val="24"/>
                <w:highlight w:val="none"/>
              </w:rPr>
            </w:pPr>
          </w:p>
        </w:tc>
        <w:tc>
          <w:tcPr>
            <w:tcW w:w="2222" w:type="dxa"/>
            <w:noWrap w:val="0"/>
            <w:vAlign w:val="top"/>
          </w:tcPr>
          <w:p w14:paraId="4514B2F7">
            <w:pPr>
              <w:spacing w:line="360" w:lineRule="auto"/>
              <w:rPr>
                <w:rFonts w:hint="eastAsia" w:ascii="宋体" w:hAnsi="宋体" w:eastAsia="宋体" w:cs="宋体"/>
                <w:color w:val="auto"/>
                <w:sz w:val="24"/>
                <w:szCs w:val="24"/>
                <w:highlight w:val="none"/>
              </w:rPr>
            </w:pPr>
          </w:p>
        </w:tc>
        <w:tc>
          <w:tcPr>
            <w:tcW w:w="1940" w:type="dxa"/>
            <w:noWrap w:val="0"/>
            <w:vAlign w:val="top"/>
          </w:tcPr>
          <w:p w14:paraId="62D3CE79">
            <w:pPr>
              <w:spacing w:line="360" w:lineRule="auto"/>
              <w:rPr>
                <w:rFonts w:hint="eastAsia" w:ascii="宋体" w:hAnsi="宋体" w:eastAsia="宋体" w:cs="宋体"/>
                <w:color w:val="auto"/>
                <w:sz w:val="24"/>
                <w:szCs w:val="24"/>
                <w:highlight w:val="none"/>
              </w:rPr>
            </w:pPr>
          </w:p>
        </w:tc>
      </w:tr>
      <w:tr w14:paraId="5F2C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929" w:type="dxa"/>
            <w:noWrap w:val="0"/>
            <w:vAlign w:val="top"/>
          </w:tcPr>
          <w:p w14:paraId="285D5FEA">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1846" w:type="dxa"/>
            <w:noWrap w:val="0"/>
            <w:vAlign w:val="top"/>
          </w:tcPr>
          <w:p w14:paraId="562E39BA">
            <w:pPr>
              <w:spacing w:line="360" w:lineRule="auto"/>
              <w:rPr>
                <w:rFonts w:hint="eastAsia" w:ascii="宋体" w:hAnsi="宋体" w:eastAsia="宋体" w:cs="宋体"/>
                <w:color w:val="auto"/>
                <w:sz w:val="24"/>
                <w:szCs w:val="24"/>
                <w:highlight w:val="none"/>
              </w:rPr>
            </w:pPr>
          </w:p>
        </w:tc>
        <w:tc>
          <w:tcPr>
            <w:tcW w:w="2222" w:type="dxa"/>
            <w:noWrap w:val="0"/>
            <w:vAlign w:val="top"/>
          </w:tcPr>
          <w:p w14:paraId="0E66119A">
            <w:pPr>
              <w:spacing w:line="360" w:lineRule="auto"/>
              <w:rPr>
                <w:rFonts w:hint="eastAsia" w:ascii="宋体" w:hAnsi="宋体" w:eastAsia="宋体" w:cs="宋体"/>
                <w:color w:val="auto"/>
                <w:sz w:val="24"/>
                <w:szCs w:val="24"/>
                <w:highlight w:val="none"/>
              </w:rPr>
            </w:pPr>
          </w:p>
        </w:tc>
        <w:tc>
          <w:tcPr>
            <w:tcW w:w="1940" w:type="dxa"/>
            <w:noWrap w:val="0"/>
            <w:vAlign w:val="top"/>
          </w:tcPr>
          <w:p w14:paraId="7FAAB7B3">
            <w:pPr>
              <w:spacing w:line="360" w:lineRule="auto"/>
              <w:rPr>
                <w:rFonts w:hint="eastAsia" w:ascii="宋体" w:hAnsi="宋体" w:eastAsia="宋体" w:cs="宋体"/>
                <w:color w:val="auto"/>
                <w:sz w:val="24"/>
                <w:szCs w:val="24"/>
                <w:highlight w:val="none"/>
              </w:rPr>
            </w:pPr>
          </w:p>
        </w:tc>
      </w:tr>
    </w:tbl>
    <w:p w14:paraId="3D44413B">
      <w:pPr>
        <w:spacing w:before="120" w:beforeLines="50"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B-2  委托人提供的房屋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2"/>
        <w:gridCol w:w="2212"/>
        <w:gridCol w:w="2212"/>
        <w:gridCol w:w="1932"/>
      </w:tblGrid>
      <w:tr w14:paraId="65DF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5DDD843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2212" w:type="dxa"/>
            <w:noWrap w:val="0"/>
            <w:vAlign w:val="top"/>
          </w:tcPr>
          <w:p w14:paraId="3506B31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212" w:type="dxa"/>
            <w:noWrap w:val="0"/>
            <w:vAlign w:val="top"/>
          </w:tcPr>
          <w:p w14:paraId="5052339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面积</w:t>
            </w:r>
          </w:p>
        </w:tc>
        <w:tc>
          <w:tcPr>
            <w:tcW w:w="1932" w:type="dxa"/>
            <w:noWrap w:val="0"/>
            <w:vAlign w:val="top"/>
          </w:tcPr>
          <w:p w14:paraId="7481589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提供时间</w:t>
            </w:r>
          </w:p>
        </w:tc>
      </w:tr>
      <w:tr w14:paraId="47DE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17E310C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办公用房</w:t>
            </w:r>
          </w:p>
        </w:tc>
        <w:tc>
          <w:tcPr>
            <w:tcW w:w="2212" w:type="dxa"/>
            <w:noWrap w:val="0"/>
            <w:vAlign w:val="top"/>
          </w:tcPr>
          <w:p w14:paraId="0E6F7EC6">
            <w:pPr>
              <w:spacing w:line="360" w:lineRule="auto"/>
              <w:ind w:firstLine="240" w:firstLineChars="100"/>
              <w:rPr>
                <w:rFonts w:hint="eastAsia" w:ascii="宋体" w:hAnsi="宋体" w:eastAsia="宋体" w:cs="宋体"/>
                <w:color w:val="auto"/>
                <w:sz w:val="24"/>
                <w:szCs w:val="24"/>
                <w:highlight w:val="none"/>
              </w:rPr>
            </w:pPr>
          </w:p>
        </w:tc>
        <w:tc>
          <w:tcPr>
            <w:tcW w:w="2212" w:type="dxa"/>
            <w:noWrap w:val="0"/>
            <w:vAlign w:val="top"/>
          </w:tcPr>
          <w:p w14:paraId="6659A997">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1932" w:type="dxa"/>
            <w:noWrap w:val="0"/>
            <w:vAlign w:val="top"/>
          </w:tcPr>
          <w:p w14:paraId="243AE577">
            <w:pPr>
              <w:spacing w:line="360" w:lineRule="auto"/>
              <w:rPr>
                <w:rFonts w:hint="eastAsia" w:ascii="宋体" w:hAnsi="宋体" w:eastAsia="宋体" w:cs="宋体"/>
                <w:color w:val="auto"/>
                <w:sz w:val="24"/>
                <w:szCs w:val="24"/>
                <w:highlight w:val="none"/>
              </w:rPr>
            </w:pPr>
          </w:p>
        </w:tc>
      </w:tr>
      <w:tr w14:paraId="5111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399ECD1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生活用房</w:t>
            </w:r>
          </w:p>
        </w:tc>
        <w:tc>
          <w:tcPr>
            <w:tcW w:w="2212" w:type="dxa"/>
            <w:noWrap w:val="0"/>
            <w:vAlign w:val="top"/>
          </w:tcPr>
          <w:p w14:paraId="2F3C3B5B">
            <w:pPr>
              <w:spacing w:line="360" w:lineRule="auto"/>
              <w:rPr>
                <w:rFonts w:hint="eastAsia" w:ascii="宋体" w:hAnsi="宋体" w:eastAsia="宋体" w:cs="宋体"/>
                <w:color w:val="auto"/>
                <w:sz w:val="24"/>
                <w:szCs w:val="24"/>
                <w:highlight w:val="none"/>
              </w:rPr>
            </w:pPr>
          </w:p>
        </w:tc>
        <w:tc>
          <w:tcPr>
            <w:tcW w:w="2212" w:type="dxa"/>
            <w:noWrap w:val="0"/>
            <w:vAlign w:val="top"/>
          </w:tcPr>
          <w:p w14:paraId="7AAE586D">
            <w:pPr>
              <w:spacing w:line="360" w:lineRule="auto"/>
              <w:rPr>
                <w:rFonts w:hint="eastAsia" w:ascii="宋体" w:hAnsi="宋体" w:eastAsia="宋体" w:cs="宋体"/>
                <w:color w:val="auto"/>
                <w:sz w:val="24"/>
                <w:szCs w:val="24"/>
                <w:highlight w:val="none"/>
              </w:rPr>
            </w:pPr>
          </w:p>
        </w:tc>
        <w:tc>
          <w:tcPr>
            <w:tcW w:w="1932" w:type="dxa"/>
            <w:noWrap w:val="0"/>
            <w:vAlign w:val="top"/>
          </w:tcPr>
          <w:p w14:paraId="260B9AA4">
            <w:pPr>
              <w:spacing w:line="360" w:lineRule="auto"/>
              <w:rPr>
                <w:rFonts w:hint="eastAsia" w:ascii="宋体" w:hAnsi="宋体" w:eastAsia="宋体" w:cs="宋体"/>
                <w:color w:val="auto"/>
                <w:sz w:val="24"/>
                <w:szCs w:val="24"/>
                <w:highlight w:val="none"/>
              </w:rPr>
            </w:pPr>
          </w:p>
        </w:tc>
      </w:tr>
      <w:tr w14:paraId="59A7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44F4F7DD">
            <w:pPr>
              <w:spacing w:line="360" w:lineRule="auto"/>
              <w:rPr>
                <w:rFonts w:hint="eastAsia" w:ascii="宋体" w:hAnsi="宋体" w:eastAsia="宋体" w:cs="宋体"/>
                <w:dstrike/>
                <w:color w:val="auto"/>
                <w:sz w:val="24"/>
                <w:szCs w:val="24"/>
                <w:highlight w:val="none"/>
              </w:rPr>
            </w:pPr>
            <w:r>
              <w:rPr>
                <w:rFonts w:hint="eastAsia" w:ascii="宋体" w:hAnsi="宋体" w:eastAsia="宋体" w:cs="宋体"/>
                <w:color w:val="auto"/>
                <w:sz w:val="24"/>
                <w:szCs w:val="24"/>
                <w:highlight w:val="none"/>
              </w:rPr>
              <w:t>3. 试验用房</w:t>
            </w:r>
          </w:p>
        </w:tc>
        <w:tc>
          <w:tcPr>
            <w:tcW w:w="2212" w:type="dxa"/>
            <w:noWrap w:val="0"/>
            <w:vAlign w:val="top"/>
          </w:tcPr>
          <w:p w14:paraId="3D287BD7">
            <w:pPr>
              <w:spacing w:line="360" w:lineRule="auto"/>
              <w:rPr>
                <w:rFonts w:hint="eastAsia" w:ascii="宋体" w:hAnsi="宋体" w:eastAsia="宋体" w:cs="宋体"/>
                <w:color w:val="auto"/>
                <w:sz w:val="24"/>
                <w:szCs w:val="24"/>
                <w:highlight w:val="none"/>
              </w:rPr>
            </w:pPr>
          </w:p>
        </w:tc>
        <w:tc>
          <w:tcPr>
            <w:tcW w:w="2212" w:type="dxa"/>
            <w:noWrap w:val="0"/>
            <w:vAlign w:val="top"/>
          </w:tcPr>
          <w:p w14:paraId="2CCE1AF3">
            <w:pPr>
              <w:spacing w:line="360" w:lineRule="auto"/>
              <w:rPr>
                <w:rFonts w:hint="eastAsia" w:ascii="宋体" w:hAnsi="宋体" w:eastAsia="宋体" w:cs="宋体"/>
                <w:color w:val="auto"/>
                <w:sz w:val="24"/>
                <w:szCs w:val="24"/>
                <w:highlight w:val="none"/>
              </w:rPr>
            </w:pPr>
          </w:p>
        </w:tc>
        <w:tc>
          <w:tcPr>
            <w:tcW w:w="1932" w:type="dxa"/>
            <w:noWrap w:val="0"/>
            <w:vAlign w:val="top"/>
          </w:tcPr>
          <w:p w14:paraId="201D660D">
            <w:pPr>
              <w:spacing w:line="360" w:lineRule="auto"/>
              <w:rPr>
                <w:rFonts w:hint="eastAsia" w:ascii="宋体" w:hAnsi="宋体" w:eastAsia="宋体" w:cs="宋体"/>
                <w:color w:val="auto"/>
                <w:sz w:val="24"/>
                <w:szCs w:val="24"/>
                <w:highlight w:val="none"/>
              </w:rPr>
            </w:pPr>
          </w:p>
        </w:tc>
      </w:tr>
      <w:tr w14:paraId="5627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265901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样品用房</w:t>
            </w:r>
          </w:p>
        </w:tc>
        <w:tc>
          <w:tcPr>
            <w:tcW w:w="2212" w:type="dxa"/>
            <w:noWrap w:val="0"/>
            <w:vAlign w:val="top"/>
          </w:tcPr>
          <w:p w14:paraId="231C55E5">
            <w:pPr>
              <w:spacing w:line="360" w:lineRule="auto"/>
              <w:rPr>
                <w:rFonts w:hint="eastAsia" w:ascii="宋体" w:hAnsi="宋体" w:eastAsia="宋体" w:cs="宋体"/>
                <w:color w:val="auto"/>
                <w:sz w:val="24"/>
                <w:szCs w:val="24"/>
                <w:highlight w:val="none"/>
              </w:rPr>
            </w:pPr>
          </w:p>
        </w:tc>
        <w:tc>
          <w:tcPr>
            <w:tcW w:w="2212" w:type="dxa"/>
            <w:noWrap w:val="0"/>
            <w:vAlign w:val="top"/>
          </w:tcPr>
          <w:p w14:paraId="4FABC2FF">
            <w:pPr>
              <w:spacing w:line="360" w:lineRule="auto"/>
              <w:rPr>
                <w:rFonts w:hint="eastAsia" w:ascii="宋体" w:hAnsi="宋体" w:eastAsia="宋体" w:cs="宋体"/>
                <w:color w:val="auto"/>
                <w:sz w:val="24"/>
                <w:szCs w:val="24"/>
                <w:highlight w:val="none"/>
              </w:rPr>
            </w:pPr>
          </w:p>
        </w:tc>
        <w:tc>
          <w:tcPr>
            <w:tcW w:w="1932" w:type="dxa"/>
            <w:noWrap w:val="0"/>
            <w:vAlign w:val="top"/>
          </w:tcPr>
          <w:p w14:paraId="6A57D830">
            <w:pPr>
              <w:spacing w:line="360" w:lineRule="auto"/>
              <w:rPr>
                <w:rFonts w:hint="eastAsia" w:ascii="宋体" w:hAnsi="宋体" w:eastAsia="宋体" w:cs="宋体"/>
                <w:color w:val="auto"/>
                <w:sz w:val="24"/>
                <w:szCs w:val="24"/>
                <w:highlight w:val="none"/>
              </w:rPr>
            </w:pPr>
          </w:p>
        </w:tc>
      </w:tr>
      <w:tr w14:paraId="2942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2659A7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p>
        </w:tc>
        <w:tc>
          <w:tcPr>
            <w:tcW w:w="2212" w:type="dxa"/>
            <w:noWrap w:val="0"/>
            <w:vAlign w:val="top"/>
          </w:tcPr>
          <w:p w14:paraId="2C60EEC7">
            <w:pPr>
              <w:spacing w:line="360" w:lineRule="auto"/>
              <w:rPr>
                <w:rFonts w:hint="eastAsia" w:ascii="宋体" w:hAnsi="宋体" w:eastAsia="宋体" w:cs="宋体"/>
                <w:color w:val="auto"/>
                <w:sz w:val="24"/>
                <w:szCs w:val="24"/>
                <w:highlight w:val="none"/>
              </w:rPr>
            </w:pPr>
          </w:p>
        </w:tc>
        <w:tc>
          <w:tcPr>
            <w:tcW w:w="2212" w:type="dxa"/>
            <w:noWrap w:val="0"/>
            <w:vAlign w:val="top"/>
          </w:tcPr>
          <w:p w14:paraId="12A37994">
            <w:pPr>
              <w:spacing w:line="360" w:lineRule="auto"/>
              <w:rPr>
                <w:rFonts w:hint="eastAsia" w:ascii="宋体" w:hAnsi="宋体" w:eastAsia="宋体" w:cs="宋体"/>
                <w:color w:val="auto"/>
                <w:sz w:val="24"/>
                <w:szCs w:val="24"/>
                <w:highlight w:val="none"/>
              </w:rPr>
            </w:pPr>
          </w:p>
        </w:tc>
        <w:tc>
          <w:tcPr>
            <w:tcW w:w="1932" w:type="dxa"/>
            <w:noWrap w:val="0"/>
            <w:vAlign w:val="top"/>
          </w:tcPr>
          <w:p w14:paraId="25EB4638">
            <w:pPr>
              <w:spacing w:line="360" w:lineRule="auto"/>
              <w:rPr>
                <w:rFonts w:hint="eastAsia" w:ascii="宋体" w:hAnsi="宋体" w:eastAsia="宋体" w:cs="宋体"/>
                <w:color w:val="auto"/>
                <w:sz w:val="24"/>
                <w:szCs w:val="24"/>
                <w:highlight w:val="none"/>
              </w:rPr>
            </w:pPr>
          </w:p>
        </w:tc>
      </w:tr>
      <w:tr w14:paraId="21180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2" w:type="dxa"/>
            <w:noWrap w:val="0"/>
            <w:vAlign w:val="top"/>
          </w:tcPr>
          <w:p w14:paraId="504A5AB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用餐及其他生活条件</w:t>
            </w:r>
          </w:p>
        </w:tc>
        <w:tc>
          <w:tcPr>
            <w:tcW w:w="6356" w:type="dxa"/>
            <w:gridSpan w:val="3"/>
            <w:noWrap w:val="0"/>
            <w:vAlign w:val="top"/>
          </w:tcPr>
          <w:p w14:paraId="21289E98">
            <w:pPr>
              <w:spacing w:line="360" w:lineRule="auto"/>
              <w:rPr>
                <w:rFonts w:hint="eastAsia" w:ascii="宋体" w:hAnsi="宋体" w:eastAsia="宋体" w:cs="宋体"/>
                <w:color w:val="auto"/>
                <w:sz w:val="24"/>
                <w:szCs w:val="24"/>
                <w:highlight w:val="none"/>
              </w:rPr>
            </w:pPr>
          </w:p>
        </w:tc>
      </w:tr>
    </w:tbl>
    <w:p w14:paraId="1A941520">
      <w:pPr>
        <w:spacing w:before="120" w:beforeLines="50"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B-3  委托人提供的资料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9"/>
        <w:gridCol w:w="1543"/>
        <w:gridCol w:w="2911"/>
        <w:gridCol w:w="1465"/>
      </w:tblGrid>
      <w:tr w14:paraId="3F78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99" w:type="dxa"/>
            <w:noWrap w:val="0"/>
            <w:vAlign w:val="top"/>
          </w:tcPr>
          <w:p w14:paraId="4ECEEC72">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名称</w:t>
            </w:r>
          </w:p>
        </w:tc>
        <w:tc>
          <w:tcPr>
            <w:tcW w:w="1543" w:type="dxa"/>
            <w:noWrap w:val="0"/>
            <w:vAlign w:val="top"/>
          </w:tcPr>
          <w:p w14:paraId="212D3BEB">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份数</w:t>
            </w:r>
          </w:p>
        </w:tc>
        <w:tc>
          <w:tcPr>
            <w:tcW w:w="2911" w:type="dxa"/>
            <w:noWrap w:val="0"/>
            <w:vAlign w:val="top"/>
          </w:tcPr>
          <w:p w14:paraId="5BD1C874">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提供时间</w:t>
            </w:r>
          </w:p>
        </w:tc>
        <w:tc>
          <w:tcPr>
            <w:tcW w:w="1465" w:type="dxa"/>
            <w:noWrap w:val="0"/>
            <w:vAlign w:val="top"/>
          </w:tcPr>
          <w:p w14:paraId="3375862E">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r>
      <w:tr w14:paraId="6D1A8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99" w:type="dxa"/>
            <w:noWrap w:val="0"/>
            <w:vAlign w:val="top"/>
          </w:tcPr>
          <w:p w14:paraId="717A4B9F">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 工程立项文件</w:t>
            </w:r>
          </w:p>
        </w:tc>
        <w:tc>
          <w:tcPr>
            <w:tcW w:w="1543" w:type="dxa"/>
            <w:noWrap w:val="0"/>
            <w:vAlign w:val="top"/>
          </w:tcPr>
          <w:p w14:paraId="2CC9A4FB">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911" w:type="dxa"/>
            <w:noWrap w:val="0"/>
            <w:vAlign w:val="top"/>
          </w:tcPr>
          <w:p w14:paraId="04E41778">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合同签订后</w:t>
            </w:r>
          </w:p>
        </w:tc>
        <w:tc>
          <w:tcPr>
            <w:tcW w:w="1465" w:type="dxa"/>
            <w:noWrap w:val="0"/>
            <w:vAlign w:val="top"/>
          </w:tcPr>
          <w:p w14:paraId="40087D25">
            <w:pPr>
              <w:spacing w:line="360" w:lineRule="auto"/>
              <w:rPr>
                <w:rFonts w:hint="eastAsia" w:ascii="宋体" w:hAnsi="宋体" w:eastAsia="宋体" w:cs="宋体"/>
                <w:color w:val="auto"/>
                <w:kern w:val="0"/>
                <w:sz w:val="24"/>
                <w:szCs w:val="24"/>
                <w:highlight w:val="none"/>
              </w:rPr>
            </w:pPr>
          </w:p>
        </w:tc>
      </w:tr>
      <w:tr w14:paraId="3D8C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99" w:type="dxa"/>
            <w:noWrap w:val="0"/>
            <w:vAlign w:val="top"/>
          </w:tcPr>
          <w:p w14:paraId="02233545">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 工程勘察文件</w:t>
            </w:r>
          </w:p>
        </w:tc>
        <w:tc>
          <w:tcPr>
            <w:tcW w:w="1543" w:type="dxa"/>
            <w:noWrap w:val="0"/>
            <w:vAlign w:val="top"/>
          </w:tcPr>
          <w:p w14:paraId="5393BD4C">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911" w:type="dxa"/>
            <w:noWrap w:val="0"/>
            <w:vAlign w:val="top"/>
          </w:tcPr>
          <w:p w14:paraId="082F9F34">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合同签订后</w:t>
            </w:r>
          </w:p>
        </w:tc>
        <w:tc>
          <w:tcPr>
            <w:tcW w:w="1465" w:type="dxa"/>
            <w:noWrap w:val="0"/>
            <w:vAlign w:val="top"/>
          </w:tcPr>
          <w:p w14:paraId="6C919EF4">
            <w:pPr>
              <w:spacing w:line="360" w:lineRule="auto"/>
              <w:rPr>
                <w:rFonts w:hint="eastAsia" w:ascii="宋体" w:hAnsi="宋体" w:eastAsia="宋体" w:cs="宋体"/>
                <w:color w:val="auto"/>
                <w:kern w:val="0"/>
                <w:sz w:val="24"/>
                <w:szCs w:val="24"/>
                <w:highlight w:val="none"/>
              </w:rPr>
            </w:pPr>
          </w:p>
        </w:tc>
      </w:tr>
      <w:tr w14:paraId="59E0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99" w:type="dxa"/>
            <w:noWrap w:val="0"/>
            <w:vAlign w:val="top"/>
          </w:tcPr>
          <w:p w14:paraId="2C296D40">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 工程设计及施工图纸</w:t>
            </w:r>
          </w:p>
        </w:tc>
        <w:tc>
          <w:tcPr>
            <w:tcW w:w="1543" w:type="dxa"/>
            <w:noWrap w:val="0"/>
            <w:vAlign w:val="top"/>
          </w:tcPr>
          <w:p w14:paraId="41DFF4B7">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911" w:type="dxa"/>
            <w:noWrap w:val="0"/>
            <w:vAlign w:val="top"/>
          </w:tcPr>
          <w:p w14:paraId="47F0B5D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合同签订后</w:t>
            </w:r>
          </w:p>
        </w:tc>
        <w:tc>
          <w:tcPr>
            <w:tcW w:w="1465" w:type="dxa"/>
            <w:noWrap w:val="0"/>
            <w:vAlign w:val="top"/>
          </w:tcPr>
          <w:p w14:paraId="3C482D81">
            <w:pPr>
              <w:spacing w:line="360" w:lineRule="auto"/>
              <w:rPr>
                <w:rFonts w:hint="eastAsia" w:ascii="宋体" w:hAnsi="宋体" w:eastAsia="宋体" w:cs="宋体"/>
                <w:color w:val="auto"/>
                <w:kern w:val="0"/>
                <w:sz w:val="24"/>
                <w:szCs w:val="24"/>
                <w:highlight w:val="none"/>
              </w:rPr>
            </w:pPr>
          </w:p>
        </w:tc>
      </w:tr>
      <w:tr w14:paraId="7CB0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899" w:type="dxa"/>
            <w:noWrap w:val="0"/>
            <w:vAlign w:val="top"/>
          </w:tcPr>
          <w:p w14:paraId="530043F8">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 工程承包合同及其他相关合同</w:t>
            </w:r>
          </w:p>
        </w:tc>
        <w:tc>
          <w:tcPr>
            <w:tcW w:w="1543" w:type="dxa"/>
            <w:noWrap w:val="0"/>
            <w:vAlign w:val="top"/>
          </w:tcPr>
          <w:p w14:paraId="5505F1D0">
            <w:pPr>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911" w:type="dxa"/>
            <w:noWrap w:val="0"/>
            <w:vAlign w:val="top"/>
          </w:tcPr>
          <w:p w14:paraId="60082B4F">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相关合同签订后</w:t>
            </w:r>
          </w:p>
        </w:tc>
        <w:tc>
          <w:tcPr>
            <w:tcW w:w="1465" w:type="dxa"/>
            <w:noWrap w:val="0"/>
            <w:vAlign w:val="top"/>
          </w:tcPr>
          <w:p w14:paraId="28F6B039">
            <w:pPr>
              <w:spacing w:line="360" w:lineRule="auto"/>
              <w:rPr>
                <w:rFonts w:hint="eastAsia" w:ascii="宋体" w:hAnsi="宋体" w:eastAsia="宋体" w:cs="宋体"/>
                <w:color w:val="auto"/>
                <w:kern w:val="0"/>
                <w:sz w:val="24"/>
                <w:szCs w:val="24"/>
                <w:highlight w:val="none"/>
              </w:rPr>
            </w:pPr>
          </w:p>
        </w:tc>
      </w:tr>
      <w:tr w14:paraId="7D8A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99" w:type="dxa"/>
            <w:noWrap w:val="0"/>
            <w:vAlign w:val="top"/>
          </w:tcPr>
          <w:p w14:paraId="7F05E52E">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 施工许可文件</w:t>
            </w:r>
          </w:p>
        </w:tc>
        <w:tc>
          <w:tcPr>
            <w:tcW w:w="1543" w:type="dxa"/>
            <w:noWrap w:val="0"/>
            <w:vAlign w:val="top"/>
          </w:tcPr>
          <w:p w14:paraId="0695EC67">
            <w:pPr>
              <w:spacing w:line="360" w:lineRule="auto"/>
              <w:jc w:val="center"/>
              <w:rPr>
                <w:rFonts w:hint="eastAsia" w:ascii="宋体" w:hAnsi="宋体" w:eastAsia="宋体" w:cs="宋体"/>
                <w:color w:val="auto"/>
                <w:kern w:val="0"/>
                <w:sz w:val="24"/>
                <w:szCs w:val="24"/>
                <w:highlight w:val="none"/>
              </w:rPr>
            </w:pPr>
          </w:p>
        </w:tc>
        <w:tc>
          <w:tcPr>
            <w:tcW w:w="2911" w:type="dxa"/>
            <w:noWrap w:val="0"/>
            <w:vAlign w:val="top"/>
          </w:tcPr>
          <w:p w14:paraId="41D21DFC">
            <w:pPr>
              <w:spacing w:line="360" w:lineRule="auto"/>
              <w:rPr>
                <w:rFonts w:hint="eastAsia" w:ascii="宋体" w:hAnsi="宋体" w:eastAsia="宋体" w:cs="宋体"/>
                <w:color w:val="auto"/>
                <w:kern w:val="0"/>
                <w:sz w:val="24"/>
                <w:szCs w:val="24"/>
                <w:highlight w:val="none"/>
              </w:rPr>
            </w:pPr>
          </w:p>
        </w:tc>
        <w:tc>
          <w:tcPr>
            <w:tcW w:w="1465" w:type="dxa"/>
            <w:noWrap w:val="0"/>
            <w:vAlign w:val="top"/>
          </w:tcPr>
          <w:p w14:paraId="111E315B">
            <w:pPr>
              <w:spacing w:line="360" w:lineRule="auto"/>
              <w:rPr>
                <w:rFonts w:hint="eastAsia" w:ascii="宋体" w:hAnsi="宋体" w:eastAsia="宋体" w:cs="宋体"/>
                <w:color w:val="auto"/>
                <w:kern w:val="0"/>
                <w:sz w:val="24"/>
                <w:szCs w:val="24"/>
                <w:highlight w:val="none"/>
              </w:rPr>
            </w:pPr>
          </w:p>
        </w:tc>
      </w:tr>
      <w:tr w14:paraId="4D2B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99" w:type="dxa"/>
            <w:noWrap w:val="0"/>
            <w:vAlign w:val="top"/>
          </w:tcPr>
          <w:p w14:paraId="5B4B209E">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 其他文件</w:t>
            </w:r>
          </w:p>
        </w:tc>
        <w:tc>
          <w:tcPr>
            <w:tcW w:w="1543" w:type="dxa"/>
            <w:noWrap w:val="0"/>
            <w:vAlign w:val="top"/>
          </w:tcPr>
          <w:p w14:paraId="3FDBF693">
            <w:pPr>
              <w:spacing w:line="360" w:lineRule="auto"/>
              <w:jc w:val="center"/>
              <w:rPr>
                <w:rFonts w:hint="eastAsia" w:ascii="宋体" w:hAnsi="宋体" w:eastAsia="宋体" w:cs="宋体"/>
                <w:color w:val="auto"/>
                <w:kern w:val="0"/>
                <w:sz w:val="24"/>
                <w:szCs w:val="24"/>
                <w:highlight w:val="none"/>
              </w:rPr>
            </w:pPr>
          </w:p>
        </w:tc>
        <w:tc>
          <w:tcPr>
            <w:tcW w:w="2911" w:type="dxa"/>
            <w:noWrap w:val="0"/>
            <w:vAlign w:val="top"/>
          </w:tcPr>
          <w:p w14:paraId="6E91D290">
            <w:pPr>
              <w:spacing w:line="360" w:lineRule="auto"/>
              <w:rPr>
                <w:rFonts w:hint="eastAsia" w:ascii="宋体" w:hAnsi="宋体" w:eastAsia="宋体" w:cs="宋体"/>
                <w:color w:val="auto"/>
                <w:kern w:val="0"/>
                <w:sz w:val="24"/>
                <w:szCs w:val="24"/>
                <w:highlight w:val="none"/>
              </w:rPr>
            </w:pPr>
          </w:p>
        </w:tc>
        <w:tc>
          <w:tcPr>
            <w:tcW w:w="1465" w:type="dxa"/>
            <w:noWrap w:val="0"/>
            <w:vAlign w:val="top"/>
          </w:tcPr>
          <w:p w14:paraId="242C0B2F">
            <w:pPr>
              <w:spacing w:line="360" w:lineRule="auto"/>
              <w:rPr>
                <w:rFonts w:hint="eastAsia" w:ascii="宋体" w:hAnsi="宋体" w:eastAsia="宋体" w:cs="宋体"/>
                <w:color w:val="auto"/>
                <w:kern w:val="0"/>
                <w:sz w:val="24"/>
                <w:szCs w:val="24"/>
                <w:highlight w:val="none"/>
              </w:rPr>
            </w:pPr>
          </w:p>
        </w:tc>
      </w:tr>
      <w:tr w14:paraId="6AE6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899" w:type="dxa"/>
            <w:noWrap w:val="0"/>
            <w:vAlign w:val="top"/>
          </w:tcPr>
          <w:p w14:paraId="5B44F78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w:t>
            </w:r>
          </w:p>
        </w:tc>
        <w:tc>
          <w:tcPr>
            <w:tcW w:w="1543" w:type="dxa"/>
            <w:noWrap w:val="0"/>
            <w:vAlign w:val="top"/>
          </w:tcPr>
          <w:p w14:paraId="53411096">
            <w:pPr>
              <w:spacing w:line="360" w:lineRule="auto"/>
              <w:jc w:val="center"/>
              <w:rPr>
                <w:rFonts w:hint="eastAsia" w:ascii="宋体" w:hAnsi="宋体" w:eastAsia="宋体" w:cs="宋体"/>
                <w:color w:val="auto"/>
                <w:kern w:val="0"/>
                <w:sz w:val="24"/>
                <w:szCs w:val="24"/>
                <w:highlight w:val="none"/>
              </w:rPr>
            </w:pPr>
          </w:p>
        </w:tc>
        <w:tc>
          <w:tcPr>
            <w:tcW w:w="2911" w:type="dxa"/>
            <w:noWrap w:val="0"/>
            <w:vAlign w:val="top"/>
          </w:tcPr>
          <w:p w14:paraId="273D120E">
            <w:pPr>
              <w:spacing w:line="360" w:lineRule="auto"/>
              <w:rPr>
                <w:rFonts w:hint="eastAsia" w:ascii="宋体" w:hAnsi="宋体" w:eastAsia="宋体" w:cs="宋体"/>
                <w:color w:val="auto"/>
                <w:kern w:val="0"/>
                <w:sz w:val="24"/>
                <w:szCs w:val="24"/>
                <w:highlight w:val="none"/>
              </w:rPr>
            </w:pPr>
          </w:p>
        </w:tc>
        <w:tc>
          <w:tcPr>
            <w:tcW w:w="1465" w:type="dxa"/>
            <w:noWrap w:val="0"/>
            <w:vAlign w:val="top"/>
          </w:tcPr>
          <w:p w14:paraId="184C6382">
            <w:pPr>
              <w:spacing w:line="360" w:lineRule="auto"/>
              <w:rPr>
                <w:rFonts w:hint="eastAsia" w:ascii="宋体" w:hAnsi="宋体" w:eastAsia="宋体" w:cs="宋体"/>
                <w:color w:val="auto"/>
                <w:kern w:val="0"/>
                <w:sz w:val="24"/>
                <w:szCs w:val="24"/>
                <w:highlight w:val="none"/>
              </w:rPr>
            </w:pPr>
          </w:p>
        </w:tc>
      </w:tr>
    </w:tbl>
    <w:p w14:paraId="61D901D5">
      <w:pPr>
        <w:spacing w:before="120" w:beforeLines="50"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B-4 委托人提供的设备</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4"/>
        <w:gridCol w:w="1651"/>
        <w:gridCol w:w="2212"/>
        <w:gridCol w:w="1931"/>
      </w:tblGrid>
      <w:tr w14:paraId="101A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4" w:type="dxa"/>
            <w:noWrap w:val="0"/>
            <w:vAlign w:val="top"/>
          </w:tcPr>
          <w:p w14:paraId="3B8B7EE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1651" w:type="dxa"/>
            <w:noWrap w:val="0"/>
            <w:vAlign w:val="top"/>
          </w:tcPr>
          <w:p w14:paraId="185BA51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212" w:type="dxa"/>
            <w:noWrap w:val="0"/>
            <w:vAlign w:val="top"/>
          </w:tcPr>
          <w:p w14:paraId="25BCFC3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型号与规格</w:t>
            </w:r>
          </w:p>
        </w:tc>
        <w:tc>
          <w:tcPr>
            <w:tcW w:w="1931" w:type="dxa"/>
            <w:noWrap w:val="0"/>
            <w:vAlign w:val="top"/>
          </w:tcPr>
          <w:p w14:paraId="5A811ED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提供时间</w:t>
            </w:r>
          </w:p>
        </w:tc>
      </w:tr>
      <w:tr w14:paraId="6061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4" w:type="dxa"/>
            <w:noWrap w:val="0"/>
            <w:vAlign w:val="top"/>
          </w:tcPr>
          <w:p w14:paraId="2A5A0A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通讯设备</w:t>
            </w:r>
          </w:p>
        </w:tc>
        <w:tc>
          <w:tcPr>
            <w:tcW w:w="1651" w:type="dxa"/>
            <w:noWrap w:val="0"/>
            <w:vAlign w:val="top"/>
          </w:tcPr>
          <w:p w14:paraId="149C8F2E">
            <w:pPr>
              <w:spacing w:line="360" w:lineRule="auto"/>
              <w:jc w:val="center"/>
              <w:rPr>
                <w:rFonts w:hint="eastAsia" w:ascii="宋体" w:hAnsi="宋体" w:eastAsia="宋体" w:cs="宋体"/>
                <w:color w:val="auto"/>
                <w:sz w:val="24"/>
                <w:szCs w:val="24"/>
                <w:highlight w:val="none"/>
              </w:rPr>
            </w:pPr>
          </w:p>
        </w:tc>
        <w:tc>
          <w:tcPr>
            <w:tcW w:w="2212" w:type="dxa"/>
            <w:noWrap w:val="0"/>
            <w:vAlign w:val="top"/>
          </w:tcPr>
          <w:p w14:paraId="7F2B0465">
            <w:pPr>
              <w:spacing w:line="360" w:lineRule="auto"/>
              <w:rPr>
                <w:rFonts w:hint="eastAsia" w:ascii="宋体" w:hAnsi="宋体" w:eastAsia="宋体" w:cs="宋体"/>
                <w:color w:val="auto"/>
                <w:sz w:val="24"/>
                <w:szCs w:val="24"/>
                <w:highlight w:val="none"/>
              </w:rPr>
            </w:pPr>
          </w:p>
        </w:tc>
        <w:tc>
          <w:tcPr>
            <w:tcW w:w="1931" w:type="dxa"/>
            <w:noWrap w:val="0"/>
            <w:vAlign w:val="top"/>
          </w:tcPr>
          <w:p w14:paraId="08D956BA">
            <w:pPr>
              <w:spacing w:line="360" w:lineRule="auto"/>
              <w:rPr>
                <w:rFonts w:hint="eastAsia" w:ascii="宋体" w:hAnsi="宋体" w:eastAsia="宋体" w:cs="宋体"/>
                <w:color w:val="auto"/>
                <w:sz w:val="24"/>
                <w:szCs w:val="24"/>
                <w:highlight w:val="none"/>
              </w:rPr>
            </w:pPr>
          </w:p>
        </w:tc>
      </w:tr>
      <w:tr w14:paraId="154B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4" w:type="dxa"/>
            <w:noWrap w:val="0"/>
            <w:vAlign w:val="top"/>
          </w:tcPr>
          <w:p w14:paraId="20DBC7E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办公设备</w:t>
            </w:r>
          </w:p>
        </w:tc>
        <w:tc>
          <w:tcPr>
            <w:tcW w:w="1651" w:type="dxa"/>
            <w:noWrap w:val="0"/>
            <w:vAlign w:val="top"/>
          </w:tcPr>
          <w:p w14:paraId="77F99759">
            <w:pPr>
              <w:spacing w:line="360" w:lineRule="auto"/>
              <w:jc w:val="center"/>
              <w:rPr>
                <w:rFonts w:hint="eastAsia" w:ascii="宋体" w:hAnsi="宋体" w:eastAsia="宋体" w:cs="宋体"/>
                <w:color w:val="auto"/>
                <w:sz w:val="24"/>
                <w:szCs w:val="24"/>
                <w:highlight w:val="none"/>
              </w:rPr>
            </w:pPr>
          </w:p>
        </w:tc>
        <w:tc>
          <w:tcPr>
            <w:tcW w:w="2212" w:type="dxa"/>
            <w:noWrap w:val="0"/>
            <w:vAlign w:val="top"/>
          </w:tcPr>
          <w:p w14:paraId="73C769C1">
            <w:pPr>
              <w:spacing w:line="360" w:lineRule="auto"/>
              <w:rPr>
                <w:rFonts w:hint="eastAsia" w:ascii="宋体" w:hAnsi="宋体" w:eastAsia="宋体" w:cs="宋体"/>
                <w:color w:val="auto"/>
                <w:sz w:val="24"/>
                <w:szCs w:val="24"/>
                <w:highlight w:val="none"/>
              </w:rPr>
            </w:pPr>
          </w:p>
        </w:tc>
        <w:tc>
          <w:tcPr>
            <w:tcW w:w="1931" w:type="dxa"/>
            <w:noWrap w:val="0"/>
            <w:vAlign w:val="top"/>
          </w:tcPr>
          <w:p w14:paraId="7D724D73">
            <w:pPr>
              <w:spacing w:line="360" w:lineRule="auto"/>
              <w:rPr>
                <w:rFonts w:hint="eastAsia" w:ascii="宋体" w:hAnsi="宋体" w:eastAsia="宋体" w:cs="宋体"/>
                <w:color w:val="auto"/>
                <w:sz w:val="24"/>
                <w:szCs w:val="24"/>
                <w:highlight w:val="none"/>
              </w:rPr>
            </w:pPr>
          </w:p>
        </w:tc>
      </w:tr>
      <w:tr w14:paraId="75E1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4" w:type="dxa"/>
            <w:noWrap w:val="0"/>
            <w:vAlign w:val="top"/>
          </w:tcPr>
          <w:p w14:paraId="495809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交通工具</w:t>
            </w:r>
          </w:p>
        </w:tc>
        <w:tc>
          <w:tcPr>
            <w:tcW w:w="1651" w:type="dxa"/>
            <w:noWrap w:val="0"/>
            <w:vAlign w:val="top"/>
          </w:tcPr>
          <w:p w14:paraId="3670FF71">
            <w:pPr>
              <w:spacing w:line="360" w:lineRule="auto"/>
              <w:jc w:val="center"/>
              <w:rPr>
                <w:rFonts w:hint="eastAsia" w:ascii="宋体" w:hAnsi="宋体" w:eastAsia="宋体" w:cs="宋体"/>
                <w:color w:val="auto"/>
                <w:sz w:val="24"/>
                <w:szCs w:val="24"/>
                <w:highlight w:val="none"/>
              </w:rPr>
            </w:pPr>
          </w:p>
        </w:tc>
        <w:tc>
          <w:tcPr>
            <w:tcW w:w="2212" w:type="dxa"/>
            <w:noWrap w:val="0"/>
            <w:vAlign w:val="top"/>
          </w:tcPr>
          <w:p w14:paraId="40C7A33E">
            <w:pPr>
              <w:spacing w:line="360" w:lineRule="auto"/>
              <w:rPr>
                <w:rFonts w:hint="eastAsia" w:ascii="宋体" w:hAnsi="宋体" w:eastAsia="宋体" w:cs="宋体"/>
                <w:color w:val="auto"/>
                <w:sz w:val="24"/>
                <w:szCs w:val="24"/>
                <w:highlight w:val="none"/>
              </w:rPr>
            </w:pPr>
          </w:p>
        </w:tc>
        <w:tc>
          <w:tcPr>
            <w:tcW w:w="1931" w:type="dxa"/>
            <w:noWrap w:val="0"/>
            <w:vAlign w:val="top"/>
          </w:tcPr>
          <w:p w14:paraId="10935311">
            <w:pPr>
              <w:spacing w:line="360" w:lineRule="auto"/>
              <w:rPr>
                <w:rFonts w:hint="eastAsia" w:ascii="宋体" w:hAnsi="宋体" w:eastAsia="宋体" w:cs="宋体"/>
                <w:color w:val="auto"/>
                <w:sz w:val="24"/>
                <w:szCs w:val="24"/>
                <w:highlight w:val="none"/>
              </w:rPr>
            </w:pPr>
          </w:p>
        </w:tc>
      </w:tr>
      <w:tr w14:paraId="1597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4" w:type="dxa"/>
            <w:noWrap w:val="0"/>
            <w:vAlign w:val="top"/>
          </w:tcPr>
          <w:p w14:paraId="26D5E1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检测和试验设备</w:t>
            </w:r>
          </w:p>
        </w:tc>
        <w:tc>
          <w:tcPr>
            <w:tcW w:w="1651" w:type="dxa"/>
            <w:noWrap w:val="0"/>
            <w:vAlign w:val="top"/>
          </w:tcPr>
          <w:p w14:paraId="4A753E12">
            <w:pPr>
              <w:spacing w:line="360" w:lineRule="auto"/>
              <w:jc w:val="center"/>
              <w:rPr>
                <w:rFonts w:hint="eastAsia" w:ascii="宋体" w:hAnsi="宋体" w:eastAsia="宋体" w:cs="宋体"/>
                <w:color w:val="auto"/>
                <w:sz w:val="24"/>
                <w:szCs w:val="24"/>
                <w:highlight w:val="none"/>
              </w:rPr>
            </w:pPr>
          </w:p>
        </w:tc>
        <w:tc>
          <w:tcPr>
            <w:tcW w:w="2212" w:type="dxa"/>
            <w:noWrap w:val="0"/>
            <w:vAlign w:val="top"/>
          </w:tcPr>
          <w:p w14:paraId="3ACCE6EA">
            <w:pPr>
              <w:spacing w:line="360" w:lineRule="auto"/>
              <w:rPr>
                <w:rFonts w:hint="eastAsia" w:ascii="宋体" w:hAnsi="宋体" w:eastAsia="宋体" w:cs="宋体"/>
                <w:color w:val="auto"/>
                <w:sz w:val="24"/>
                <w:szCs w:val="24"/>
                <w:highlight w:val="none"/>
              </w:rPr>
            </w:pPr>
          </w:p>
        </w:tc>
        <w:tc>
          <w:tcPr>
            <w:tcW w:w="1931" w:type="dxa"/>
            <w:noWrap w:val="0"/>
            <w:vAlign w:val="top"/>
          </w:tcPr>
          <w:p w14:paraId="63219B08">
            <w:pPr>
              <w:spacing w:line="360" w:lineRule="auto"/>
              <w:rPr>
                <w:rFonts w:hint="eastAsia" w:ascii="宋体" w:hAnsi="宋体" w:eastAsia="宋体" w:cs="宋体"/>
                <w:color w:val="auto"/>
                <w:sz w:val="24"/>
                <w:szCs w:val="24"/>
                <w:highlight w:val="none"/>
              </w:rPr>
            </w:pPr>
          </w:p>
        </w:tc>
      </w:tr>
      <w:tr w14:paraId="3A5E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4" w:type="dxa"/>
            <w:noWrap w:val="0"/>
            <w:vAlign w:val="top"/>
          </w:tcPr>
          <w:p w14:paraId="62F7221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p>
        </w:tc>
        <w:tc>
          <w:tcPr>
            <w:tcW w:w="1651" w:type="dxa"/>
            <w:noWrap w:val="0"/>
            <w:vAlign w:val="top"/>
          </w:tcPr>
          <w:p w14:paraId="129835A1">
            <w:pPr>
              <w:spacing w:line="360" w:lineRule="auto"/>
              <w:jc w:val="center"/>
              <w:rPr>
                <w:rFonts w:hint="eastAsia" w:ascii="宋体" w:hAnsi="宋体" w:eastAsia="宋体" w:cs="宋体"/>
                <w:color w:val="auto"/>
                <w:sz w:val="24"/>
                <w:szCs w:val="24"/>
                <w:highlight w:val="none"/>
              </w:rPr>
            </w:pPr>
          </w:p>
        </w:tc>
        <w:tc>
          <w:tcPr>
            <w:tcW w:w="2212" w:type="dxa"/>
            <w:noWrap w:val="0"/>
            <w:vAlign w:val="top"/>
          </w:tcPr>
          <w:p w14:paraId="5F292F6C">
            <w:pPr>
              <w:spacing w:line="360" w:lineRule="auto"/>
              <w:rPr>
                <w:rFonts w:hint="eastAsia" w:ascii="宋体" w:hAnsi="宋体" w:eastAsia="宋体" w:cs="宋体"/>
                <w:color w:val="auto"/>
                <w:sz w:val="24"/>
                <w:szCs w:val="24"/>
                <w:highlight w:val="none"/>
              </w:rPr>
            </w:pPr>
          </w:p>
        </w:tc>
        <w:tc>
          <w:tcPr>
            <w:tcW w:w="1931" w:type="dxa"/>
            <w:noWrap w:val="0"/>
            <w:vAlign w:val="top"/>
          </w:tcPr>
          <w:p w14:paraId="03F75762">
            <w:pPr>
              <w:spacing w:line="360" w:lineRule="auto"/>
              <w:rPr>
                <w:rFonts w:hint="eastAsia" w:ascii="宋体" w:hAnsi="宋体" w:eastAsia="宋体" w:cs="宋体"/>
                <w:color w:val="auto"/>
                <w:sz w:val="24"/>
                <w:szCs w:val="24"/>
                <w:highlight w:val="none"/>
              </w:rPr>
            </w:pPr>
          </w:p>
        </w:tc>
      </w:tr>
    </w:tbl>
    <w:p w14:paraId="26F36CD0">
      <w:pPr>
        <w:spacing w:line="360" w:lineRule="auto"/>
        <w:rPr>
          <w:rFonts w:hint="eastAsia" w:ascii="宋体" w:hAnsi="宋体" w:eastAsia="宋体" w:cs="宋体"/>
          <w:color w:val="auto"/>
          <w:sz w:val="24"/>
          <w:szCs w:val="24"/>
          <w:highlight w:val="none"/>
          <w:lang w:val="en-US" w:eastAsia="zh-CN"/>
        </w:rPr>
      </w:pPr>
    </w:p>
    <w:p w14:paraId="04C282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8EF77"/>
    <w:multiLevelType w:val="singleLevel"/>
    <w:tmpl w:val="C038EF77"/>
    <w:lvl w:ilvl="0" w:tentative="0">
      <w:start w:val="1"/>
      <w:numFmt w:val="chineseCounting"/>
      <w:suff w:val="nothing"/>
      <w:lvlText w:val="%1、"/>
      <w:lvlJc w:val="left"/>
      <w:rPr>
        <w:rFonts w:hint="eastAsia"/>
      </w:rPr>
    </w:lvl>
  </w:abstractNum>
  <w:abstractNum w:abstractNumId="1">
    <w:nsid w:val="48064776"/>
    <w:multiLevelType w:val="multilevel"/>
    <w:tmpl w:val="48064776"/>
    <w:lvl w:ilvl="0" w:tentative="0">
      <w:start w:val="1"/>
      <w:numFmt w:val="chineseCountingThousand"/>
      <w:pStyle w:val="2"/>
      <w:suff w:val="nothing"/>
      <w:lvlText w:val="第%1章 "/>
      <w:lvlJc w:val="left"/>
      <w:pPr>
        <w:ind w:left="284" w:firstLine="0"/>
      </w:pPr>
      <w:rPr>
        <w:rFonts w:hint="eastAsia"/>
        <w:lang w:val="en-US"/>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50F03"/>
    <w:rsid w:val="021A27AB"/>
    <w:rsid w:val="3DE63AC5"/>
    <w:rsid w:val="47FD7A58"/>
    <w:rsid w:val="486755EB"/>
    <w:rsid w:val="5E512226"/>
    <w:rsid w:val="69C50F03"/>
    <w:rsid w:val="6AEF704E"/>
    <w:rsid w:val="78D93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
    <w:qFormat/>
    <w:uiPriority w:val="0"/>
    <w:pPr>
      <w:keepNext/>
      <w:keepLines/>
      <w:numPr>
        <w:ilvl w:val="0"/>
        <w:numId w:val="1"/>
      </w:numPr>
      <w:spacing w:before="340" w:after="330" w:line="578" w:lineRule="auto"/>
      <w:jc w:val="center"/>
      <w:outlineLvl w:val="0"/>
    </w:pPr>
    <w:rPr>
      <w:b/>
      <w:bCs/>
      <w:kern w:val="44"/>
      <w:sz w:val="36"/>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autoRedefine/>
    <w:qFormat/>
    <w:uiPriority w:val="0"/>
    <w:rPr>
      <w:b/>
      <w:bCs/>
      <w:kern w:val="44"/>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15276</Words>
  <Characters>15691</Characters>
  <Lines>0</Lines>
  <Paragraphs>0</Paragraphs>
  <TotalTime>8</TotalTime>
  <ScaleCrop>false</ScaleCrop>
  <LinksUpToDate>false</LinksUpToDate>
  <CharactersWithSpaces>16823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2026-05-28T09:10:00Z</dcterms:created>
  <dc:creator>吼-嗨-哈</dc:creator>
  <cp:lastModifiedBy>づ 34.12°N /*</cp:lastModifiedBy>
  <dcterms:modified xsi:type="dcterms:W3CDTF">2026-05-28T10:48:15Z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0EED7CB501ED4ACA979531B7A8BF37E3_13</vt:lpwstr>
  </property>
  <property fmtid="{D5CDD505-2E9C-101B-9397-08002B2CF9AE}" pid="4" name="KSOTemplateDocerSaveRecord">
    <vt:lpwstr>eyJoZGlkIjoiNWJhYjdiMDM1NGMyNmM0MjMxNTA4NjhiZTE5OGJmYWYiLCJ1c2VySWQiOiIxOTIwNTU4MzQifQ==</vt:lpwstr>
  </property>
</Properties>
</file>