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版本号：XBMH2026-220.1B120260818001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省体育训练中心7号公寓楼维修改造工程(二次)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XBMH2026-220.1B1</w:t>
      </w:r>
      <w:r>
        <w:br/>
      </w:r>
      <w:r>
        <w:br/>
      </w:r>
      <w:r>
        <w:br/>
      </w:r>
    </w:p>
    <w:p>
      <w:pPr>
        <w:pStyle w:val="null3"/>
        <w:jc w:val="center"/>
        <w:outlineLvl w:val="2"/>
      </w:pPr>
      <w:r>
        <w:rPr>
          <w:rFonts w:ascii="仿宋_GB2312" w:hAnsi="仿宋_GB2312" w:cs="仿宋_GB2312" w:eastAsia="仿宋_GB2312"/>
          <w:sz w:val="28"/>
          <w:b/>
        </w:rPr>
        <w:t>陕西省体育训练中心</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陕西省体育训练中心</w:t>
      </w:r>
      <w:r>
        <w:rPr>
          <w:rFonts w:ascii="仿宋_GB2312" w:hAnsi="仿宋_GB2312" w:cs="仿宋_GB2312" w:eastAsia="仿宋_GB2312"/>
        </w:rPr>
        <w:t>委托，拟对</w:t>
      </w:r>
      <w:r>
        <w:rPr>
          <w:rFonts w:ascii="仿宋_GB2312" w:hAnsi="仿宋_GB2312" w:cs="仿宋_GB2312" w:eastAsia="仿宋_GB2312"/>
        </w:rPr>
        <w:t>省体育训练中心7号公寓楼维修改造工程(二次)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XBMH2026-220.1B1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省体育训练中心7号公寓楼维修改造工程(二次)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更换阳台门窗49樘，安装不锈钢晾衣架、布艺窗帘49套，更换灯具90套;修补楼道、楼梯间破损墙地砖;全面翻新每层楼卫生间、洗漱间、淋浴间(约420㎡)的地面墙面、防水、给排水管网;对渗漏外墙做防水处理，屋面防水系统修复更新。包含但不限于本项目工程量清单及图纸（如有）涉及的所有内容（具体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采购包1（省体育训练中心7号公寓楼维修改造工程）：属于专门面向中小企业采购。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企业资质：具备建设行政主管部门颁发的建筑工程施工总承包叁级（含）以上资质证书或建筑装饰装修工程专业承包贰级（含）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3、项目经理：拟派项目经理具有建筑工程专业二级及以上注册建造师证，且具有有效的安全生产考核合格（B）证，且未担任其他在建工程（须提供无在建工程的承诺函）；供应商需在项目电子化交易系统中按要求上传相应证明文件并进行电子签章。</w:t>
      </w:r>
    </w:p>
    <w:p>
      <w:pPr>
        <w:pStyle w:val="null3"/>
      </w:pPr>
      <w:r>
        <w:rPr>
          <w:rFonts w:ascii="仿宋_GB2312" w:hAnsi="仿宋_GB2312" w:cs="仿宋_GB2312" w:eastAsia="仿宋_GB2312"/>
        </w:rPr>
        <w:t>4、财务状况表：具有良好的商业信誉和健全的财务会计制度（须提供2025年经过审计的财务报告，若成立不足一年的提供基本账户银行出具的资信证明）；供应商需在项目电子化交易系统中按要求上传相应证明⽂件并进行电子签章。</w:t>
      </w:r>
    </w:p>
    <w:p>
      <w:pPr>
        <w:pStyle w:val="null3"/>
      </w:pPr>
      <w:r>
        <w:rPr>
          <w:rFonts w:ascii="仿宋_GB2312" w:hAnsi="仿宋_GB2312" w:cs="仿宋_GB2312" w:eastAsia="仿宋_GB2312"/>
        </w:rPr>
        <w:t>5、社保缴纳证明：有依法缴纳税收和社会保障资金的良好记录（供应商需在项目电子化交易系统中按要求上传相应证明文件并进行电子签章）： ①供应商2026年1月1日至磋商截止日间任意3个月缴纳税收的凭据； ②供应商2026年1月1日至磋商截止日间任意3个月缴纳社会保险的凭据； 依法免税或不需要缴纳社会保障资金的供应商，应提供相应文件证明其依法免税或不需要缴纳社会保障资金。</w:t>
      </w:r>
    </w:p>
    <w:p>
      <w:pPr>
        <w:pStyle w:val="null3"/>
      </w:pPr>
      <w:r>
        <w:rPr>
          <w:rFonts w:ascii="仿宋_GB2312" w:hAnsi="仿宋_GB2312" w:cs="仿宋_GB2312" w:eastAsia="仿宋_GB2312"/>
        </w:rPr>
        <w:t>6、书面声明：供应商提供书面声明承诺书，包括声明具有履行合同所必需的设备和专业技术能力；未为本项目提供整体设计、规范编制或者项⽬管理、监理、检测等服务。供应商需在项目电子化交易系统中按要求上传相应证明文件并进行电子签章。</w:t>
      </w:r>
    </w:p>
    <w:p>
      <w:pPr>
        <w:pStyle w:val="null3"/>
      </w:pPr>
      <w:r>
        <w:rPr>
          <w:rFonts w:ascii="仿宋_GB2312" w:hAnsi="仿宋_GB2312" w:cs="仿宋_GB2312" w:eastAsia="仿宋_GB2312"/>
        </w:rPr>
        <w:t>7、书面声明函：参加政府采购活动前三年内，在经营活动中没有重大违法记录，供应商需在项目电子化交易系统中按要求上传相应证明文件并进行电子签章。</w:t>
      </w:r>
    </w:p>
    <w:p>
      <w:pPr>
        <w:pStyle w:val="null3"/>
      </w:pPr>
      <w:r>
        <w:rPr>
          <w:rFonts w:ascii="仿宋_GB2312" w:hAnsi="仿宋_GB2312" w:cs="仿宋_GB2312" w:eastAsia="仿宋_GB2312"/>
        </w:rPr>
        <w:t>8、控股管理关系声明：凡两家或以上供应商参加同一项目的采购，有如下情况的，不得参加项目采购活动：单位负责人为同一人或者存在直接控股、管理关系的不同供应商，不得同时参加本项目的采购活动，供应商需在项目电子化交易系统中按要求上传相应证明文件并进行电子签章。</w:t>
      </w:r>
    </w:p>
    <w:p>
      <w:pPr>
        <w:pStyle w:val="null3"/>
      </w:pPr>
      <w:r>
        <w:rPr>
          <w:rFonts w:ascii="仿宋_GB2312" w:hAnsi="仿宋_GB2312" w:cs="仿宋_GB2312" w:eastAsia="仿宋_GB2312"/>
        </w:rPr>
        <w:t>9、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处罚决定规定的时间和地域范围内），供应商需在项目电子化交易系统中按要求上传相应证明文件并进行电子签章。</w:t>
      </w:r>
    </w:p>
    <w:p>
      <w:pPr>
        <w:pStyle w:val="null3"/>
      </w:pPr>
      <w:r>
        <w:rPr>
          <w:rFonts w:ascii="仿宋_GB2312" w:hAnsi="仿宋_GB2312" w:cs="仿宋_GB2312" w:eastAsia="仿宋_GB2312"/>
        </w:rPr>
        <w:t>10、法定代表人授权委托书：法定代表人参加投标的，须提供本人身份证复印件；法定代表人授权他人参加投标的，须提供法定代表人授权委托书。响应文件中凡是需要法定代表人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11、中小企业声明：承揽工程的供应商应为中型企业或小型、微型企业或监狱企业或残疾人福利性单位。承揽工程的供应商为中型、小型、微型企业的，供应商提供《中小企业声明函》，且中小企业的划分标准所属行业为建筑业；承揽工程的供应商为监狱企业的，投标人应提供承揽工程的供应商为监狱企业的证明文件（监狱企业视同小型、微型企业）；承揽工程的供应商为残疾人福利性单位的，供应商应提供承揽工程的供应商为残疾人福利性单位的《残疾⼈福利性单位声明函》（残疾人福利性单位视同小型、微型企业）。供应商需在项目电子化交易系统中按要求上传相应证明文件并进行电子签章。</w:t>
      </w:r>
    </w:p>
    <w:p>
      <w:pPr>
        <w:pStyle w:val="null3"/>
      </w:pPr>
      <w:r>
        <w:rPr>
          <w:rFonts w:ascii="仿宋_GB2312" w:hAnsi="仿宋_GB2312" w:cs="仿宋_GB2312" w:eastAsia="仿宋_GB2312"/>
        </w:rPr>
        <w:t>12、非联合体声明：供应商提供《非联合体投标声明》，视为独力投标。供应商需在项目电子化交易系统中按要求上传相应证明⽂件并进行电子签章。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陕西省体育训练中心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西安市丈八东路303号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029-88587245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郭颖、师晶晶（同异议联系人）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采购包1：1,582,396.91元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向中标（成交）供应商收取代理服务费。注：本项目按照工程类收费标准，代理费不足7000.00元按7000.00收取。 （1）以成交通知书中确定的成交总金额作为代理服务费的计算基数； （2）代理服务费币种以人民币支付； （3）成交供应商按照代理服务收费标准缴纳代理服务费；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陕西省体育训练中心</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陕西省体育训练中心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陕西省体育训练中心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对本合同履行过程中获得的对方资料数据、商业技术信息等承担保密责任。未经甲方事先书面同意，不得以任何形式向第三方泄露，也不得公开本合同及其相关附件内容。本合同的解除或终止，不免除双方的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联系人：郭颖、师晶晶、刘岩</w:t>
      </w:r>
    </w:p>
    <w:p>
      <w:pPr>
        <w:pStyle w:val="null3"/>
      </w:pPr>
      <w:r>
        <w:rPr>
          <w:rFonts w:ascii="仿宋_GB2312" w:hAnsi="仿宋_GB2312" w:cs="仿宋_GB2312" w:eastAsia="仿宋_GB2312"/>
        </w:rPr>
        <w:t>联系电话：029-88347987-8060</w:t>
      </w:r>
    </w:p>
    <w:p>
      <w:pPr>
        <w:pStyle w:val="null3"/>
      </w:pPr>
      <w:r>
        <w:rPr>
          <w:rFonts w:ascii="仿宋_GB2312" w:hAnsi="仿宋_GB2312" w:cs="仿宋_GB2312" w:eastAsia="仿宋_GB2312"/>
        </w:rPr>
        <w:t>地址：西安市唐延路3号唐延国际中心AB区8楼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1,582,396.91</w:t>
      </w:r>
    </w:p>
    <w:p>
      <w:pPr>
        <w:pStyle w:val="null3"/>
      </w:pPr>
      <w:r>
        <w:rPr>
          <w:rFonts w:ascii="仿宋_GB2312" w:hAnsi="仿宋_GB2312" w:cs="仿宋_GB2312" w:eastAsia="仿宋_GB2312"/>
        </w:rPr>
        <w:t>采购包最高限价（元）: 1,582,396.91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省体育训练中心7号公寓楼维修改造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1,582,396.91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标的名称：省体育训练中心7号公寓楼维修改造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技术</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本项目</w:t>
            </w:r>
            <w:r>
              <w:rPr>
                <w:rFonts w:ascii="仿宋_GB2312" w:hAnsi="仿宋_GB2312" w:cs="仿宋_GB2312" w:eastAsia="仿宋_GB2312"/>
                <w:sz w:val="24"/>
              </w:rPr>
              <w:t>规范、标准、规程仅是本工程建设的最基本要求，并未包括实施中所涉及到的所有规定、标准和规程。在施工中对于上述未尽事宜，按国家和地方现行的规定执行。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本次磋商文件技术规格及要求，主要由各相关的工程工程量清单、图纸及相应的技术规格要求组成。</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请供应商仔细阅读磋商文件的全部条文（包括合同条款），对于磋商文件中存在的任何含糊、遗漏、相互矛盾之处或是对于技术规格以及其它内容不清楚、认为存在歧视、限制的情况，供应商应在规定时间之前向采购人或采购代理机构寻求书面澄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依据工程技术文件要求，本工程项目的材料、施工必须达到现行中华人民共和国及省、市、行业的一切有关法规、规范的要求。</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承包人必须按国家颁布的强制性标准组织施工。本工程采用的标准及规范均为最新版本的国家及部颁和行业现行标准。国家及部颁与本标工程有关的各种现行有效版本的技术规范、规程和供货商技术文件上的质量要求均适用于本工程。</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与本工程有关的施工及验收技术规范：工程施工质量检验评定以国家及部颁建筑与安装工程质量检验评定标准为依据。施工过程中，施工单位应全面阅读各专业图纸，特别注意建筑和结构专业对外墙的构造，设备各专业的留洞，如遇到专业间不符，请及时与设计单位沟通，避免不必要的返工。</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土建施工与安装工程密切配合，准确预埋和各种预埋件，预留孔洞并保证施工适量，避免遗漏及时候随意开凿。</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施工过程中，建设单位、施工单位、监理单位不得对图纸进行随意变更，所有变更设计均应先由有关部门协商后再由原设计单位出具正式设计变更为准。凡不符合有关程序的单位或个人的边个设计行为及由此产生的后果，原设计单位不负责任何法律责任。</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本工程承包方式为：包工包料。</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本工程的材料及设备由供应商根据现行规范、标准进行报价，并在响应文件中按磋商文件给定格式填写出规格、数量、单价、总价、产地、品牌等内容。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实际工程中使用的材料必须经采购人认可后方可用于工程中。</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供应商应保证工程质量，保证材料质量、规格与数量，满足设计和施工现场要求。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施工时不得破坏原有路面路基，要注意做好线路，必要时要采取有效的线路保护措施，并承担相关费用。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工程竣工验收前，需对现场进行彻底清洁。</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、安全生产、文明施工及卫生要求：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严格执行</w:t>
            </w:r>
            <w:r>
              <w:rPr>
                <w:rFonts w:ascii="仿宋_GB2312" w:hAnsi="仿宋_GB2312" w:cs="仿宋_GB2312" w:eastAsia="仿宋_GB2312"/>
                <w:sz w:val="24"/>
              </w:rPr>
              <w:t>包含但不限于</w:t>
            </w:r>
            <w:r>
              <w:rPr>
                <w:rFonts w:ascii="仿宋_GB2312" w:hAnsi="仿宋_GB2312" w:cs="仿宋_GB2312" w:eastAsia="仿宋_GB2312"/>
                <w:sz w:val="24"/>
              </w:rPr>
              <w:t>《中华人民共和国环境保护法》、《污染噪声污染防治法》、《环境管理体系标准》（</w:t>
            </w:r>
            <w:r>
              <w:rPr>
                <w:rFonts w:ascii="仿宋_GB2312" w:hAnsi="仿宋_GB2312" w:cs="仿宋_GB2312" w:eastAsia="仿宋_GB2312"/>
                <w:sz w:val="24"/>
              </w:rPr>
              <w:t>GB/T24000-1996</w:t>
            </w:r>
            <w:r>
              <w:rPr>
                <w:rFonts w:ascii="仿宋_GB2312" w:hAnsi="仿宋_GB2312" w:cs="仿宋_GB2312" w:eastAsia="仿宋_GB2312"/>
                <w:sz w:val="24"/>
              </w:rPr>
              <w:t>）、《建筑施工场地噪音限值》、《建筑工程施工环境保护工作基本标准》、《建筑施工安全检查标准》（</w:t>
            </w:r>
            <w:r>
              <w:rPr>
                <w:rFonts w:ascii="仿宋_GB2312" w:hAnsi="仿宋_GB2312" w:cs="仿宋_GB2312" w:eastAsia="仿宋_GB2312"/>
                <w:sz w:val="24"/>
              </w:rPr>
              <w:t>JGJ59-99</w:t>
            </w:r>
            <w:r>
              <w:rPr>
                <w:rFonts w:ascii="仿宋_GB2312" w:hAnsi="仿宋_GB2312" w:cs="仿宋_GB2312" w:eastAsia="仿宋_GB2312"/>
                <w:sz w:val="24"/>
              </w:rPr>
              <w:t>）等规范规定。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项目全体参建人员应严格按采购人要求，做好施工技术及安全交底工作，并着统一服装。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施工现场的布置严格按业主审批后的施工现场平面布置图进行，施工现场的材料堆放应按其规格、型号的不同分别堆放整齐，并应避开主要通道。</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做好产品保护实施和检查工作。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提倡文明礼貌，杜绝酒后上岗作业现象，一经发生将当事人立即清除出场。</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施工单位须针对潜在的人员的人身安全造成威胁的所有安全隐患及危险做好防范措施。坚决杜绝任何危险意外情况的发生。施工过程中所发生的安全责任问题均由中标单位承担。</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针对特殊天气，应采用相应的安全措施。</w:t>
            </w:r>
          </w:p>
          <w:p>
            <w:pPr>
              <w:pStyle w:val="null3"/>
            </w:pPr>
            <w:r>
              <w:rPr>
                <w:rFonts w:ascii="仿宋_GB2312" w:hAnsi="仿宋_GB2312" w:cs="仿宋_GB2312" w:eastAsia="仿宋_GB2312"/>
                <w:sz w:val="24"/>
                <w:b/>
              </w:rPr>
              <w:t>四、工程内容：</w:t>
            </w:r>
          </w:p>
          <w:p>
            <w:pPr>
              <w:pStyle w:val="null3"/>
              <w:ind w:firstLine="480"/>
              <w:jc w:val="both"/>
            </w:pPr>
            <w:r>
              <w:rPr>
                <w:rFonts w:ascii="仿宋_GB2312" w:hAnsi="仿宋_GB2312" w:cs="仿宋_GB2312" w:eastAsia="仿宋_GB2312"/>
                <w:sz w:val="24"/>
              </w:rPr>
              <w:t>更换阳台门窗</w:t>
            </w:r>
            <w:r>
              <w:rPr>
                <w:rFonts w:ascii="仿宋_GB2312" w:hAnsi="仿宋_GB2312" w:cs="仿宋_GB2312" w:eastAsia="仿宋_GB2312"/>
                <w:sz w:val="24"/>
              </w:rPr>
              <w:t>49</w:t>
            </w:r>
            <w:r>
              <w:rPr>
                <w:rFonts w:ascii="仿宋_GB2312" w:hAnsi="仿宋_GB2312" w:cs="仿宋_GB2312" w:eastAsia="仿宋_GB2312"/>
                <w:sz w:val="24"/>
              </w:rPr>
              <w:t>樘，安装不锈钢晾衣架、布艺窗帘</w:t>
            </w:r>
            <w:r>
              <w:rPr>
                <w:rFonts w:ascii="仿宋_GB2312" w:hAnsi="仿宋_GB2312" w:cs="仿宋_GB2312" w:eastAsia="仿宋_GB2312"/>
                <w:sz w:val="24"/>
              </w:rPr>
              <w:t>49</w:t>
            </w:r>
            <w:r>
              <w:rPr>
                <w:rFonts w:ascii="仿宋_GB2312" w:hAnsi="仿宋_GB2312" w:cs="仿宋_GB2312" w:eastAsia="仿宋_GB2312"/>
                <w:sz w:val="24"/>
              </w:rPr>
              <w:t>套，更换灯具</w:t>
            </w:r>
            <w:r>
              <w:rPr>
                <w:rFonts w:ascii="仿宋_GB2312" w:hAnsi="仿宋_GB2312" w:cs="仿宋_GB2312" w:eastAsia="仿宋_GB2312"/>
                <w:sz w:val="24"/>
              </w:rPr>
              <w:t>90</w:t>
            </w:r>
            <w:r>
              <w:rPr>
                <w:rFonts w:ascii="仿宋_GB2312" w:hAnsi="仿宋_GB2312" w:cs="仿宋_GB2312" w:eastAsia="仿宋_GB2312"/>
                <w:sz w:val="24"/>
              </w:rPr>
              <w:t>套</w:t>
            </w:r>
            <w:r>
              <w:rPr>
                <w:rFonts w:ascii="仿宋_GB2312" w:hAnsi="仿宋_GB2312" w:cs="仿宋_GB2312" w:eastAsia="仿宋_GB2312"/>
                <w:sz w:val="24"/>
              </w:rPr>
              <w:t>;</w:t>
            </w:r>
            <w:r>
              <w:rPr>
                <w:rFonts w:ascii="仿宋_GB2312" w:hAnsi="仿宋_GB2312" w:cs="仿宋_GB2312" w:eastAsia="仿宋_GB2312"/>
                <w:sz w:val="24"/>
              </w:rPr>
              <w:t>修补楼道、楼梯间破损墙地砖</w:t>
            </w:r>
            <w:r>
              <w:rPr>
                <w:rFonts w:ascii="仿宋_GB2312" w:hAnsi="仿宋_GB2312" w:cs="仿宋_GB2312" w:eastAsia="仿宋_GB2312"/>
                <w:sz w:val="24"/>
              </w:rPr>
              <w:t>;</w:t>
            </w:r>
            <w:r>
              <w:rPr>
                <w:rFonts w:ascii="仿宋_GB2312" w:hAnsi="仿宋_GB2312" w:cs="仿宋_GB2312" w:eastAsia="仿宋_GB2312"/>
                <w:sz w:val="24"/>
              </w:rPr>
              <w:t>全面翻新每层楼卫生间、洗激间、淋浴间</w:t>
            </w:r>
            <w:r>
              <w:rPr>
                <w:rFonts w:ascii="仿宋_GB2312" w:hAnsi="仿宋_GB2312" w:cs="仿宋_GB2312" w:eastAsia="仿宋_GB2312"/>
                <w:sz w:val="24"/>
              </w:rPr>
              <w:t>(</w:t>
            </w:r>
            <w:r>
              <w:rPr>
                <w:rFonts w:ascii="仿宋_GB2312" w:hAnsi="仿宋_GB2312" w:cs="仿宋_GB2312" w:eastAsia="仿宋_GB2312"/>
                <w:sz w:val="24"/>
              </w:rPr>
              <w:t>约</w:t>
            </w:r>
            <w:r>
              <w:rPr>
                <w:rFonts w:ascii="仿宋_GB2312" w:hAnsi="仿宋_GB2312" w:cs="仿宋_GB2312" w:eastAsia="仿宋_GB2312"/>
                <w:sz w:val="24"/>
              </w:rPr>
              <w:t>420m)</w:t>
            </w:r>
            <w:r>
              <w:rPr>
                <w:rFonts w:ascii="仿宋_GB2312" w:hAnsi="仿宋_GB2312" w:cs="仿宋_GB2312" w:eastAsia="仿宋_GB2312"/>
                <w:sz w:val="24"/>
              </w:rPr>
              <w:t>的地面墙面、防水、给排水管网</w:t>
            </w:r>
            <w:r>
              <w:rPr>
                <w:rFonts w:ascii="仿宋_GB2312" w:hAnsi="仿宋_GB2312" w:cs="仿宋_GB2312" w:eastAsia="仿宋_GB2312"/>
                <w:sz w:val="24"/>
              </w:rPr>
              <w:t>;</w:t>
            </w:r>
            <w:r>
              <w:rPr>
                <w:rFonts w:ascii="仿宋_GB2312" w:hAnsi="仿宋_GB2312" w:cs="仿宋_GB2312" w:eastAsia="仿宋_GB2312"/>
                <w:sz w:val="24"/>
              </w:rPr>
              <w:t>对渗漏外墙做防水处理，屋面防水系统修复更新。包含但不限于本项目工程量清单及图纸（如有）涉及的所有内容。</w:t>
            </w:r>
          </w:p>
          <w:p>
            <w:pPr>
              <w:pStyle w:val="null3"/>
            </w:pPr>
            <w:r>
              <w:rPr>
                <w:rFonts w:ascii="仿宋_GB2312" w:hAnsi="仿宋_GB2312" w:cs="仿宋_GB2312" w:eastAsia="仿宋_GB2312"/>
                <w:sz w:val="24"/>
                <w:b/>
              </w:rPr>
              <w:t>五、主要商务部分</w:t>
            </w:r>
          </w:p>
          <w:p>
            <w:pPr>
              <w:pStyle w:val="null3"/>
              <w:ind w:firstLine="482"/>
              <w:jc w:val="both"/>
            </w:pPr>
            <w:r>
              <w:rPr>
                <w:rFonts w:ascii="仿宋_GB2312" w:hAnsi="仿宋_GB2312" w:cs="仿宋_GB2312" w:eastAsia="仿宋_GB2312"/>
                <w:sz w:val="24"/>
                <w:b/>
              </w:rPr>
              <w:t>1.工期、工程地点及验收方式：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1）工期</w:t>
            </w:r>
            <w:r>
              <w:rPr>
                <w:rFonts w:ascii="仿宋_GB2312" w:hAnsi="仿宋_GB2312" w:cs="仿宋_GB2312" w:eastAsia="仿宋_GB2312"/>
                <w:sz w:val="24"/>
              </w:rPr>
              <w:t>：</w:t>
            </w:r>
            <w:r>
              <w:rPr>
                <w:rFonts w:ascii="仿宋_GB2312" w:hAnsi="仿宋_GB2312" w:cs="仿宋_GB2312" w:eastAsia="仿宋_GB2312"/>
                <w:sz w:val="24"/>
              </w:rPr>
              <w:t>45日历天，自合同签订之日起算；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2）工程地点：采购人指定地点；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3）验收方式：由采购人组织相关职能部门进行验收。</w:t>
            </w:r>
          </w:p>
          <w:p>
            <w:pPr>
              <w:pStyle w:val="null3"/>
              <w:ind w:firstLine="482"/>
              <w:jc w:val="both"/>
            </w:pPr>
            <w:r>
              <w:rPr>
                <w:rFonts w:ascii="仿宋_GB2312" w:hAnsi="仿宋_GB2312" w:cs="仿宋_GB2312" w:eastAsia="仿宋_GB2312"/>
                <w:sz w:val="24"/>
                <w:b/>
              </w:rPr>
              <w:t>2.质量保修要求：</w:t>
            </w:r>
          </w:p>
          <w:p>
            <w:pPr>
              <w:pStyle w:val="null3"/>
              <w:ind w:firstLine="480"/>
              <w:jc w:val="both"/>
            </w:pPr>
            <w:r>
              <w:rPr>
                <w:rFonts w:ascii="仿宋_GB2312" w:hAnsi="仿宋_GB2312" w:cs="仿宋_GB2312" w:eastAsia="仿宋_GB2312"/>
                <w:sz w:val="24"/>
              </w:rPr>
              <w:t>质量保修期：自工程竣工验收合格之日进入工程质量保修期，质量保修期</w:t>
            </w:r>
            <w:r>
              <w:rPr>
                <w:rFonts w:ascii="仿宋_GB2312" w:hAnsi="仿宋_GB2312" w:cs="仿宋_GB2312" w:eastAsia="仿宋_GB2312"/>
                <w:sz w:val="24"/>
              </w:rPr>
              <w:t>2</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3.付款方式：</w:t>
            </w:r>
          </w:p>
          <w:p>
            <w:pPr>
              <w:pStyle w:val="null3"/>
              <w:ind w:firstLine="480"/>
              <w:jc w:val="both"/>
            </w:pPr>
            <w:r>
              <w:rPr>
                <w:rFonts w:ascii="仿宋_GB2312" w:hAnsi="仿宋_GB2312" w:cs="仿宋_GB2312" w:eastAsia="仿宋_GB2312"/>
                <w:sz w:val="24"/>
              </w:rPr>
              <w:t>见合同条款。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中华人民共和国民法典》《中华人民共和国安全生产法》《建筑工程质量管理条例》《房屋建筑工程质量保修办法》《建筑工程施工质量验收统一标准》；陕西省、西安市关于安全生产文明施工的法规、条例和规范性文件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1.工期、工程地点及验收方式： （1）工期：45日历天，自合同签订之日起算； （2）工程地点：采购人指定地点； （3）验收方式：由采购人组织相关职能部门进行验收。 2.质量保修要求： 质量保修期：自工程竣工验收合格之日进入工程质量保修期，质量保修期2年。 3.合同付款方式： （1）工程款支付：结算单位：采购人结算，在付款前开具等额发票给采购人。 （2）付款方式：合同签订后10个工作日内甲方拨付合同总额的40%作为工程预付款；工程进度达到整体项目的60%时支付合同总价的20%；工程竣工后，采购人组织各参建方对本项目进行最终验收，验收合格后，甲方向乙方支付至合同总额的80%；工程竣工结算审核完成后30日内，甲方向乙方支付工程款至结算价总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叁级（含）以上资质证书或建筑装饰装修工程专业承包贰级（含）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证，且具有有效的安全生产考核合格（B）证，且未担任其他在建工程（须提供无在建工程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财务状况表</w:t>
            </w:r>
          </w:p>
        </w:tc>
        <w:tc>
          <w:tcPr>
            <w:tcW w:type="dxa" w:w="3322"/>
          </w:tcPr>
          <w:p>
            <w:pPr>
              <w:pStyle w:val="null3"/>
            </w:pPr>
            <w:r>
              <w:rPr>
                <w:rFonts w:ascii="仿宋_GB2312" w:hAnsi="仿宋_GB2312" w:cs="仿宋_GB2312" w:eastAsia="仿宋_GB2312"/>
              </w:rPr>
              <w:t>具有良好的商业信誉和健全的财务会计制度（须提供2025年经过审计的财务报告，若成立不足一年的提供基本账户银行出具的资信证明）；供应商需在项目电子化交易系统中按要求上传相应证明⽂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有依法缴纳税收和社会保障资金的良好记录（供应商需在项目电子化交易系统中按要求上传相应证明文件并进行电子签章）： ①供应商2026年1月1日至磋商截止日间任意3个月缴纳税收的凭据； ②供应商2026年1月1日至磋商截止日间任意3个月缴纳社会保险的凭据； 依法免税或不需要缴纳社会保障资金的供应商，应提供相应文件证明其依法免税或不需要缴纳社会保障资金。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承诺书，包括声明具有履行合同所必需的设备和专业技术能力；未为本项目提供整体设计、规范编制或者项⽬管理、监理、检测等服务。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书面声明函</w:t>
            </w:r>
          </w:p>
        </w:tc>
        <w:tc>
          <w:tcPr>
            <w:tcW w:type="dxa" w:w="3322"/>
          </w:tcPr>
          <w:p>
            <w:pPr>
              <w:pStyle w:val="null3"/>
            </w:pPr>
            <w:r>
              <w:rPr>
                <w:rFonts w:ascii="仿宋_GB2312" w:hAnsi="仿宋_GB2312" w:cs="仿宋_GB2312" w:eastAsia="仿宋_GB2312"/>
              </w:rPr>
              <w:t>参加政府采购活动前三年内，在经营活动中没有重大违法记录，供应商需在项目电子化交易系统中按要求上传相应证明文件并进行电子签章。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凡两家或以上供应商参加同一项目的采购，有如下情况的，不得参加项目采购活动：单位负责人为同一人或者存在直接控股、管理关系的不同供应商，不得同时参加本项目的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处罚决定规定的时间和地域范围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法定代表人授权他人参加投标的，须提供法定代表人授权委托书。响应文件中凡是需要法定代表人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承揽工程的供应商应为中型企业或小型、微型企业或监狱企业或残疾人福利性单位。承揽工程的供应商为中型、小型、微型企业的，供应商提供《中小企业声明函》，且中小企业的划分标准所属行业为建筑业；承揽工程的供应商为监狱企业的，投标人应提供承揽工程的供应商为监狱企业的证明文件（监狱企业视同小型、微型企业）；承揽工程的供应商为残疾人福利性单位的，供应商应提供承揽工程的供应商为残疾人福利性单位的《残疾⼈福利性单位声明函》（残疾人福利性单位视同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供应商提供《非联合体投标声明》，视为独力投标。供应商需在项目电子化交易系统中按要求上传相应证明⽂件并进行电子签章。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已标价的工程量清单.docx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供应商每提供一份2023年1月1日至投标截止日（以签订合同时间为准）以来完成的类似项目业绩得2分，本项最多得10分； 注： 1.以合同中所载明的具体内容为准，若未体现相应内容需提供业主证明文件，响应文件中须附中标通知书、合同关键页扫描件、支付凭证（发票）及竣工验收资料，并加盖供应商公章，否则不予得分。 2.业绩证明材料须字迹清晰，如无法辨认或有歧义等情况的须提供原件备查。 3.如供应商提供虚假材料，则响应文件无效，供应商自动失去本项目投标资格，不得参与本项目投标和合同签订。已经签订合同的，采购人有权解除合同。由此造成的所有损失，全部由供应商承担。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供应商类似业绩项目一览表.docx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供应商为本项目配备专业项目负责人，拟派项目负责人具备中级专业技术职称得1分，具备高级职称2分，没有不得分。 注：需提供相关证书的复印件或扫描件、社保缴费证明（须提供投标截止日前6个月内连续3个月的社保缴纳证明材料）。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除项目负责人以外，评审小组根据供应商提供的团队人员组织安排计划进行打分（包含成员姓名、年龄、岗位、工作经验等）：项目团队人员结构合理、专业配置齐全（配备专职安全员1名、土建或建筑专业施工技术人员2名），且具备类似项目经验，以上人员配备满足3人，得1分；在此基础上每增加以上专业人员1名，加1分，最高计1分；以上内容满分2分。 注：以上所有人员在响应文件中需提供相关证书的复印件或扫描件、社保缴费证明（须提供磋商截止日前6个月内连续3个月的社保缴纳证明材料）。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供应商应对整体工程防水做出售后服务承诺，承诺整体防水工程质保期以外每增加1年加1分，最高得2分，未附承诺本项不得分。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 供应商提供针对本项目施工技术方案及措施（方案包括但不限于以下内容）：①施工方法②技术措施③施工总体组织④施工方案，评审小组进行综合赋分。 二、评审标准： ①②③④项内容全面详细、阐述条理清晰详尽、符合本项目采购需求，能有效保障本项目实施的得12分，每缺少一项扣3分；单项内容存在缺陷的，扣1分，扣完为止。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一、评审内容 供应商针对本项目提供工程质量保障措施：（方案包括但不限于以下内容）：①质量保障体系②对材料的质量控制制度③工程质量监督管理措施④应急保障措施，评审小组进行综合赋分。 二、评审标准： ①②③④项内容全面详细、阐述条理清晰详尽、符合本项目采购需求，能有效保障本项目实施的得8分，每缺少一项扣2分；单项内容存在缺陷的，扣1分，扣完为止。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供应商针对本项目提供安全、文明施工措施（方案包括但不限于以下内容）：①安全、文明施工管理制度；②安全、文明组织机构③环境保护文明施工措施，评审小组进行综合赋分。 二、评审标准 ①②③项内容全面详细、阐述条理清晰详尽、符合本项目采购需求，能有效保障本项目实施的得6分，每缺少一项扣2分；单项内容存在缺陷的，扣1分，扣完为止。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一、评审内容 供应商针对本项目提供工程进度的保障措施（方案包括但不限于以下内容）：①工程进度保障措施方案，②劳动力安排计划，③施工进度网络图或施工进度表④施工进度计划检查方案，评审小组进行综合赋分。 二、评审标准 ①②③④项内容全面详细、阐述条理清晰详尽、符合本项目采购需求，能有效保障本项目实施的得8分，每缺少一项扣2分；单项内容存在缺陷的，扣1分，扣完为止。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供应商针对本项目提供施工机械配置和材料投入计划（方案包括但不限于以下内容）：包含以下内容：①材料投入计划②机械设备配备计划③施工材料及机械设备管理方案，评审小组进行综合赋分。 二、评审标准 ①②③项内容全面详细、阐述条理清晰详尽、符合本项目采购需求，能有效保障本项目实施的得6分，每缺少一项扣2分；单项内容存在缺陷的，扣1分，扣完为止。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 供应商针对本项目提供项目组织机构（方案包括但不限于以下内容）：①项目组织架构②团队人员岗位安排及职责③团队人员管理制度，评审小组进行综合赋分。 二、评审标准 ①②③项内容全面详细、阐述条理清晰详尽、符合本项目采购需求，能有效保障本项目实施的得6分，每缺少一项扣2分；单项内容存在缺陷的，扣1分，扣完为止。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供应商针对本项目提供设备质量及售后服务方案。包含以下内容：①工程质量承诺②安全承诺书③竣工服务保修承诺④后续验收服务承诺，评审小组进行综合赋分。 二、评审标准 ①②③④项内容全面详细、阐述条理清晰详尽、符合本项目采购需求，能有效保障本项目实施的得8分，每缺少一项扣2分；单项内容存在缺陷的，扣1分，扣完为止。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价格得分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价格权重×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已标价的工程量清单.docx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已标价的工程量清单.docx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详见附件：已标价的工程量清单.docx</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详见附件：供应商类似业绩项目一览表.docx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