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版本号：HXZK2026ZC050800220260511001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陕西ETC发行服务系统升级改造工可及初步设计编制等咨询服务项目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HXZK2026ZC0508002</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陕西ETC发行服务系统升级改造工可及初步设计编制等咨询服务项目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HXZK2026ZC0508002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陕西ETC发行服务系统升级改造工可及初步设计编制等咨询服务项目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根据相关文件要求，对陕西ETC发行服务系统升级改造项目开展工程可行性研究报告及初步设计编制等咨询服务。包括现场调研、基础资料收集及文档编制。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采购包1（陕西ETC发行服务系统升级改造工可及初步设计编制等咨询服务项目）：属于专门面向中小企业采购。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资质证书：供应商须具备工程设计综合资质甲级或工程设计公路行业甲级或工程设计电子通信广电行业甲级或工程设计公路行业（交通工程）专业甲级或工程设计电子通信广电行业（电子系统工程）专业甲级，并为“全国投资项目在线审批监管平台”（https://new.tzxm.gov.cn）已备案的工程咨询单位（咨询专业包含公路）。 供应商需在项目电子化交易系统中按要求上传相应证明文件并进行电子签章。</w:t>
      </w:r>
    </w:p>
    <w:p>
      <w:pPr>
        <w:pStyle w:val="null3"/>
      </w:pPr>
      <w:r>
        <w:rPr>
          <w:rFonts w:ascii="仿宋_GB2312" w:hAnsi="仿宋_GB2312" w:cs="仿宋_GB2312" w:eastAsia="仿宋_GB2312"/>
        </w:rPr>
        <w:t>4、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5、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6、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8、书面声明：提供参加政府采购活动前三年内在经营活动中没有重大违法记录的书面声明。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10、非联合体磋商：本采购包不接受联合体磋商，供应商提供非联合体磋商承诺书。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029-86531101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根据相关文件要求，对陕西ETC发行服务系统升级改造项目开展工程可行性研究报告及初步设计编制等咨询服务。包括现场调研、基础资料收集及文档编制。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372,500.00</w:t>
      </w:r>
    </w:p>
    <w:p>
      <w:pPr>
        <w:pStyle w:val="null3"/>
      </w:pPr>
      <w:r>
        <w:rPr>
          <w:rFonts w:ascii="仿宋_GB2312" w:hAnsi="仿宋_GB2312" w:cs="仿宋_GB2312" w:eastAsia="仿宋_GB2312"/>
        </w:rPr>
        <w:t>采购包最高限价（元）: 372,500.00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陕西ETC发行服务系统升级改造工可及初步设计编制等咨询服务项目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372,500.00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标的名称：陕西ETC发行服务系统升级改造工可及初步设计编制等咨询服务项目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0"/>
              </w:rPr>
              <w:t>一、编制依据</w:t>
            </w:r>
          </w:p>
          <w:p>
            <w:pPr>
              <w:pStyle w:val="null3"/>
              <w:ind w:firstLine="400"/>
              <w:jc w:val="left"/>
            </w:pPr>
            <w:r>
              <w:rPr>
                <w:rFonts w:ascii="仿宋_GB2312" w:hAnsi="仿宋_GB2312" w:cs="仿宋_GB2312" w:eastAsia="仿宋_GB2312"/>
                <w:sz w:val="20"/>
              </w:rPr>
              <w:t>1.《交通强国建设纲要》（2019年9月19日）；</w:t>
            </w:r>
          </w:p>
          <w:p>
            <w:pPr>
              <w:pStyle w:val="null3"/>
              <w:ind w:firstLine="400"/>
              <w:jc w:val="left"/>
            </w:pPr>
            <w:r>
              <w:rPr>
                <w:rFonts w:ascii="仿宋_GB2312" w:hAnsi="仿宋_GB2312" w:cs="仿宋_GB2312" w:eastAsia="仿宋_GB2312"/>
                <w:sz w:val="20"/>
              </w:rPr>
              <w:t>2.交通运输部《交通强国建设评价指标体系》（交规划发〔2022〕7号）；</w:t>
            </w:r>
          </w:p>
          <w:p>
            <w:pPr>
              <w:pStyle w:val="null3"/>
              <w:ind w:firstLine="400"/>
              <w:jc w:val="left"/>
            </w:pPr>
            <w:r>
              <w:rPr>
                <w:rFonts w:ascii="仿宋_GB2312" w:hAnsi="仿宋_GB2312" w:cs="仿宋_GB2312" w:eastAsia="仿宋_GB2312"/>
                <w:sz w:val="20"/>
              </w:rPr>
              <w:t>3.交通运输部《收费公路电子不停车收费技术要求》2011年第12号公告；</w:t>
            </w:r>
          </w:p>
          <w:p>
            <w:pPr>
              <w:pStyle w:val="null3"/>
              <w:ind w:firstLine="400"/>
              <w:jc w:val="left"/>
            </w:pPr>
            <w:r>
              <w:rPr>
                <w:rFonts w:ascii="仿宋_GB2312" w:hAnsi="仿宋_GB2312" w:cs="仿宋_GB2312" w:eastAsia="仿宋_GB2312"/>
                <w:sz w:val="20"/>
              </w:rPr>
              <w:t>4.《信息安全技术信息系统安全等级保护基本要求》（GB/T 22239-2008）；</w:t>
            </w:r>
          </w:p>
          <w:p>
            <w:pPr>
              <w:pStyle w:val="null3"/>
              <w:ind w:firstLine="400"/>
              <w:jc w:val="left"/>
            </w:pPr>
            <w:r>
              <w:rPr>
                <w:rFonts w:ascii="仿宋_GB2312" w:hAnsi="仿宋_GB2312" w:cs="仿宋_GB2312" w:eastAsia="仿宋_GB2312"/>
                <w:sz w:val="20"/>
              </w:rPr>
              <w:t>5.《信息安全技术证书认证系统密码及其相关安全技术规范》（GB/T 25056-2018）；</w:t>
            </w:r>
          </w:p>
          <w:p>
            <w:pPr>
              <w:pStyle w:val="null3"/>
              <w:ind w:firstLine="400"/>
              <w:jc w:val="left"/>
            </w:pPr>
            <w:r>
              <w:rPr>
                <w:rFonts w:ascii="仿宋_GB2312" w:hAnsi="仿宋_GB2312" w:cs="仿宋_GB2312" w:eastAsia="仿宋_GB2312"/>
                <w:sz w:val="20"/>
              </w:rPr>
              <w:t>6.《公路工程建设项目概算预算编制办法》（JTG 3830-2018）；</w:t>
            </w:r>
          </w:p>
          <w:p>
            <w:pPr>
              <w:pStyle w:val="null3"/>
              <w:ind w:firstLine="400"/>
              <w:jc w:val="left"/>
            </w:pPr>
            <w:r>
              <w:rPr>
                <w:rFonts w:ascii="仿宋_GB2312" w:hAnsi="仿宋_GB2312" w:cs="仿宋_GB2312" w:eastAsia="仿宋_GB2312"/>
                <w:sz w:val="20"/>
              </w:rPr>
              <w:t>7.《公路工程概算定额》（JTG/T 3831-2018）；</w:t>
            </w:r>
          </w:p>
          <w:p>
            <w:pPr>
              <w:pStyle w:val="null3"/>
              <w:ind w:firstLine="400"/>
              <w:jc w:val="left"/>
            </w:pPr>
            <w:r>
              <w:rPr>
                <w:rFonts w:ascii="仿宋_GB2312" w:hAnsi="仿宋_GB2312" w:cs="仿宋_GB2312" w:eastAsia="仿宋_GB2312"/>
                <w:sz w:val="20"/>
              </w:rPr>
              <w:t>8.交通运输部关于调整《公路工程建设项目投资估算编制办法》（JTG3820-2018）和《公路工程建设项目概算预算编制办法》（JTG3830-2018）中“税金”有关规定的公告（中华人民共和国交通运输部公告第26号）。</w:t>
            </w:r>
          </w:p>
          <w:p>
            <w:pPr>
              <w:pStyle w:val="null3"/>
              <w:ind w:firstLine="400"/>
              <w:jc w:val="left"/>
            </w:pPr>
            <w:r>
              <w:rPr>
                <w:rFonts w:ascii="仿宋_GB2312" w:hAnsi="仿宋_GB2312" w:cs="仿宋_GB2312" w:eastAsia="仿宋_GB2312"/>
                <w:sz w:val="20"/>
              </w:rPr>
              <w:t>二、</w:t>
            </w:r>
            <w:r>
              <w:rPr>
                <w:rFonts w:ascii="仿宋_GB2312" w:hAnsi="仿宋_GB2312" w:cs="仿宋_GB2312" w:eastAsia="仿宋_GB2312"/>
                <w:sz w:val="20"/>
              </w:rPr>
              <w:t>服务内容</w:t>
            </w:r>
          </w:p>
          <w:p>
            <w:pPr>
              <w:pStyle w:val="null3"/>
              <w:ind w:firstLine="400"/>
              <w:jc w:val="left"/>
            </w:pPr>
            <w:r>
              <w:rPr>
                <w:rFonts w:ascii="仿宋_GB2312" w:hAnsi="仿宋_GB2312" w:cs="仿宋_GB2312" w:eastAsia="仿宋_GB2312"/>
                <w:sz w:val="20"/>
              </w:rPr>
              <w:t>（一）工作内容</w:t>
            </w:r>
          </w:p>
          <w:p>
            <w:pPr>
              <w:pStyle w:val="null3"/>
              <w:ind w:firstLine="400"/>
              <w:jc w:val="left"/>
            </w:pPr>
            <w:r>
              <w:rPr>
                <w:rFonts w:ascii="仿宋_GB2312" w:hAnsi="仿宋_GB2312" w:cs="仿宋_GB2312" w:eastAsia="仿宋_GB2312"/>
                <w:sz w:val="20"/>
              </w:rPr>
              <w:t>根据相关文件要求，对陕西</w:t>
            </w:r>
            <w:r>
              <w:rPr>
                <w:rFonts w:ascii="仿宋_GB2312" w:hAnsi="仿宋_GB2312" w:cs="仿宋_GB2312" w:eastAsia="仿宋_GB2312"/>
                <w:sz w:val="20"/>
              </w:rPr>
              <w:t>ETC发行服务系统升级改造项目开展工程可行性研究报告及初步设计编制等咨询服务。包括现场调研、基础资料收集及文档编制。</w:t>
            </w:r>
          </w:p>
          <w:p>
            <w:pPr>
              <w:pStyle w:val="null3"/>
              <w:ind w:firstLine="400"/>
              <w:jc w:val="left"/>
            </w:pPr>
            <w:r>
              <w:rPr>
                <w:rFonts w:ascii="仿宋_GB2312" w:hAnsi="仿宋_GB2312" w:cs="仿宋_GB2312" w:eastAsia="仿宋_GB2312"/>
                <w:sz w:val="20"/>
              </w:rPr>
              <w:t>1.现场调研、基础资料收集。由项目管理人员统一安排本项目专业需求分析人员入场，进行现场调研及基础资料收集工作，计划从合同签订之日起对现状进行充分调研。</w:t>
            </w:r>
          </w:p>
          <w:p>
            <w:pPr>
              <w:pStyle w:val="null3"/>
              <w:ind w:firstLine="400"/>
              <w:jc w:val="left"/>
            </w:pPr>
            <w:r>
              <w:rPr>
                <w:rFonts w:ascii="仿宋_GB2312" w:hAnsi="仿宋_GB2312" w:cs="仿宋_GB2312" w:eastAsia="仿宋_GB2312"/>
                <w:sz w:val="20"/>
              </w:rPr>
              <w:t>2.工可文件编制工作。项目管理人员通过整体调研进度及资料收集情况，合理配置专业设计工程师和概预算工程师，编制项目工程可行性研究报告。具体包括项目概述、需求分析、总体方案、建设方案、节能分析、招标方案、项目组织机构和人员培训、实施进度、投资估算与资金来源、效益评价和综合论证、项目风险与风险管理等内容。</w:t>
            </w:r>
          </w:p>
          <w:p>
            <w:pPr>
              <w:pStyle w:val="null3"/>
              <w:ind w:firstLine="400"/>
              <w:jc w:val="left"/>
            </w:pPr>
            <w:r>
              <w:rPr>
                <w:rFonts w:ascii="仿宋_GB2312" w:hAnsi="仿宋_GB2312" w:cs="仿宋_GB2312" w:eastAsia="仿宋_GB2312"/>
                <w:sz w:val="20"/>
              </w:rPr>
              <w:t>3.初步设计及施工图设计方案编制主要包括：</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1）对项目背景的进一步理解、设计依据、设计范围及内容等。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2）调研收集到的相关系统现状等。</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3）ETC发行服务系统、陕西ETC网厅、ETC拓展应用等系统的功能要求。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4）总体方案设计及各系统方案设计，具体包括ETC发行服务系统、陕西ETC网厅、ETC拓展应用等系统升级改造方案。</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5）施工图及预算编制。需有效指导陕西ETC发行服务系统升级改造项目工作的开展，确保该项工作的有序推进。</w:t>
            </w:r>
          </w:p>
          <w:p>
            <w:pPr>
              <w:pStyle w:val="null3"/>
              <w:ind w:firstLine="400"/>
              <w:jc w:val="left"/>
            </w:pPr>
            <w:r>
              <w:rPr>
                <w:rFonts w:ascii="仿宋_GB2312" w:hAnsi="仿宋_GB2312" w:cs="仿宋_GB2312" w:eastAsia="仿宋_GB2312"/>
                <w:sz w:val="20"/>
              </w:rPr>
              <w:t>4.配合完成工可、初步设计、施工图设计评审工作。</w:t>
            </w:r>
          </w:p>
          <w:p>
            <w:pPr>
              <w:pStyle w:val="null3"/>
              <w:ind w:firstLine="400"/>
              <w:jc w:val="left"/>
            </w:pPr>
            <w:r>
              <w:rPr>
                <w:rFonts w:ascii="仿宋_GB2312" w:hAnsi="仿宋_GB2312" w:cs="仿宋_GB2312" w:eastAsia="仿宋_GB2312"/>
                <w:sz w:val="20"/>
              </w:rPr>
              <w:t>（二）交付内容</w:t>
            </w:r>
          </w:p>
          <w:p>
            <w:pPr>
              <w:pStyle w:val="null3"/>
              <w:ind w:firstLine="400"/>
              <w:jc w:val="left"/>
            </w:pPr>
            <w:r>
              <w:rPr>
                <w:rFonts w:ascii="仿宋_GB2312" w:hAnsi="仿宋_GB2312" w:cs="仿宋_GB2312" w:eastAsia="仿宋_GB2312"/>
                <w:sz w:val="20"/>
              </w:rPr>
              <w:t>1.《ETC发行服务系统升级改造项目工程可行性报告》。</w:t>
            </w:r>
          </w:p>
          <w:p>
            <w:pPr>
              <w:pStyle w:val="null3"/>
              <w:ind w:firstLine="400"/>
              <w:jc w:val="left"/>
            </w:pPr>
            <w:r>
              <w:rPr>
                <w:rFonts w:ascii="仿宋_GB2312" w:hAnsi="仿宋_GB2312" w:cs="仿宋_GB2312" w:eastAsia="仿宋_GB2312"/>
                <w:sz w:val="20"/>
              </w:rPr>
              <w:t>2.《ETC发行服务系统升级改造项目初步设计》《ETC发行服务系统升级改造项目施工图设计》。</w:t>
            </w:r>
          </w:p>
          <w:p>
            <w:pPr>
              <w:pStyle w:val="null3"/>
              <w:ind w:firstLine="400"/>
              <w:jc w:val="left"/>
            </w:pPr>
            <w:r>
              <w:rPr>
                <w:rFonts w:ascii="仿宋_GB2312" w:hAnsi="仿宋_GB2312" w:cs="仿宋_GB2312" w:eastAsia="仿宋_GB2312"/>
                <w:sz w:val="20"/>
              </w:rPr>
              <w:t>3.交付内容需符合陕西省人民政府办公厅《省级政务信息化项目建设管理办法》有关规定。</w:t>
            </w:r>
          </w:p>
          <w:p>
            <w:pPr>
              <w:pStyle w:val="null3"/>
              <w:ind w:firstLine="400"/>
              <w:jc w:val="left"/>
            </w:pPr>
            <w:r>
              <w:rPr>
                <w:rFonts w:ascii="仿宋_GB2312" w:hAnsi="仿宋_GB2312" w:cs="仿宋_GB2312" w:eastAsia="仿宋_GB2312"/>
                <w:sz w:val="20"/>
              </w:rPr>
              <w:t>三</w:t>
            </w:r>
            <w:r>
              <w:rPr>
                <w:rFonts w:ascii="仿宋_GB2312" w:hAnsi="仿宋_GB2312" w:cs="仿宋_GB2312" w:eastAsia="仿宋_GB2312"/>
                <w:sz w:val="20"/>
              </w:rPr>
              <w:t>、服务要求</w:t>
            </w:r>
          </w:p>
          <w:p>
            <w:pPr>
              <w:pStyle w:val="null3"/>
              <w:ind w:firstLine="400"/>
              <w:jc w:val="left"/>
            </w:pPr>
            <w:r>
              <w:rPr>
                <w:rFonts w:ascii="仿宋_GB2312" w:hAnsi="仿宋_GB2312" w:cs="仿宋_GB2312" w:eastAsia="仿宋_GB2312"/>
                <w:sz w:val="20"/>
              </w:rPr>
              <w:t>（一）服务基本要求</w:t>
            </w:r>
          </w:p>
          <w:p>
            <w:pPr>
              <w:pStyle w:val="null3"/>
              <w:ind w:firstLine="400"/>
              <w:jc w:val="left"/>
            </w:pPr>
            <w:r>
              <w:rPr>
                <w:rFonts w:ascii="仿宋_GB2312" w:hAnsi="仿宋_GB2312" w:cs="仿宋_GB2312" w:eastAsia="仿宋_GB2312"/>
                <w:sz w:val="20"/>
              </w:rPr>
              <w:t>1、服务时间：计划在合同签订生效后6个月内完成。</w:t>
            </w:r>
          </w:p>
          <w:p>
            <w:pPr>
              <w:pStyle w:val="null3"/>
              <w:ind w:firstLine="400"/>
              <w:jc w:val="left"/>
            </w:pPr>
            <w:r>
              <w:rPr>
                <w:rFonts w:ascii="仿宋_GB2312" w:hAnsi="仿宋_GB2312" w:cs="仿宋_GB2312" w:eastAsia="仿宋_GB2312"/>
                <w:sz w:val="20"/>
              </w:rPr>
              <w:t>2、服务地点：陕西省高速公路收费中心。</w:t>
            </w:r>
          </w:p>
          <w:p>
            <w:pPr>
              <w:pStyle w:val="null3"/>
              <w:ind w:firstLine="400"/>
              <w:jc w:val="left"/>
            </w:pPr>
            <w:r>
              <w:rPr>
                <w:rFonts w:ascii="仿宋_GB2312" w:hAnsi="仿宋_GB2312" w:cs="仿宋_GB2312" w:eastAsia="仿宋_GB2312"/>
                <w:sz w:val="20"/>
              </w:rPr>
              <w:t>3、服务要求：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合同签订之日起20天内完成系统及其他关联性系统现有建设情况等的现场调研和基础资料收集工作；收集工作完成后30天内提交工可初稿；工可初稿经采购方内部讨论提出修改意见后，10天内完成工可完善工作并提交采购方进行评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2）工可评审定稿后90天内提交初步设计及施工图设计方案。经采购人内部讨论对方案初稿提出修改意见后，10天内完成方案完善工作并提交采购方。</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3）方案完成后60天内，配合采购人完成方案评审。</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）履约验收要求</w:t>
            </w:r>
          </w:p>
          <w:p>
            <w:pPr>
              <w:pStyle w:val="null3"/>
              <w:ind w:firstLine="400"/>
              <w:jc w:val="left"/>
            </w:pPr>
            <w:r>
              <w:rPr>
                <w:rFonts w:ascii="仿宋_GB2312" w:hAnsi="仿宋_GB2312" w:cs="仿宋_GB2312" w:eastAsia="仿宋_GB2312"/>
                <w:sz w:val="20"/>
              </w:rPr>
              <w:t>项目履约验收主体为采购人，验收工作流程为供应商提出验收申请之日起</w:t>
            </w:r>
            <w:r>
              <w:rPr>
                <w:rFonts w:ascii="仿宋_GB2312" w:hAnsi="仿宋_GB2312" w:cs="仿宋_GB2312" w:eastAsia="仿宋_GB2312"/>
                <w:sz w:val="20"/>
              </w:rPr>
              <w:t>30日内，由采购人组织验收工作。本项目为一次性验收，采购人严格按照</w:t>
            </w:r>
            <w:r>
              <w:rPr>
                <w:rFonts w:ascii="仿宋_GB2312" w:hAnsi="仿宋_GB2312" w:cs="仿宋_GB2312" w:eastAsia="仿宋_GB2312"/>
                <w:sz w:val="20"/>
              </w:rPr>
              <w:t>磋商</w:t>
            </w:r>
            <w:r>
              <w:rPr>
                <w:rFonts w:ascii="仿宋_GB2312" w:hAnsi="仿宋_GB2312" w:cs="仿宋_GB2312" w:eastAsia="仿宋_GB2312"/>
                <w:sz w:val="20"/>
              </w:rPr>
              <w:t>文件、</w:t>
            </w:r>
            <w:r>
              <w:rPr>
                <w:rFonts w:ascii="仿宋_GB2312" w:hAnsi="仿宋_GB2312" w:cs="仿宋_GB2312" w:eastAsia="仿宋_GB2312"/>
                <w:sz w:val="20"/>
              </w:rPr>
              <w:t>响应</w:t>
            </w:r>
            <w:r>
              <w:rPr>
                <w:rFonts w:ascii="仿宋_GB2312" w:hAnsi="仿宋_GB2312" w:cs="仿宋_GB2312" w:eastAsia="仿宋_GB2312"/>
                <w:sz w:val="20"/>
              </w:rPr>
              <w:t>文件和合同约定内容进行履约验收。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过程中，服务商应提供服务过程中所指派具体承担服务的人员名单及其简历、学历等证明文件，保证所提供信息的准确性和有效性。采购人有权对派入人员的资格和相关信息进行审核。为确保服务工作的顺利开展，服务商应对服务人员及现场驻场人员素质整体把关，原则上应满足以下条件： 1.技术团队包括中高级技术人员负责技术方案设计及概预算文件编制。技术团队人员应对高速公路机电系统具有深刻了解，具备丰富的高速公路机电系统设计经验。 2.技术团队投入本项目设计的人员中具备高级职称（资格）人数不少于3人，中级职称（资格）人数不少于3人。 3.为保证项目的连续性，在项目服务周期内不得随意更换服务人员。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（一）保密要求 项目实施过程中所收集、产生的所有与本项目相关的文档、资料，包括文字、图片、表格、数字等各种形式的所属权均归属省中心，服务商必须对所涉及到的内容保密，服务商及服务人员应按照要求签署保密协议。 （二）付款要求 服务期间服务总费用不变，采购人无须另向服务单位支付合同约定之外的其它任何费用。 （三）其他要求 服务商应遵守采购人相关管理制度，并接受监督。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合同签订生效后6个月内完成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合同签订且生效之日起，完成工可报告初稿并提交采购人，经采购人初步通过后，首次支付服务商须向采购人出具合法有效的全额发票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完成初步设计及施工图设计初稿并提交采购人，经采购人初步通过后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若项目2026年11月底未进行履约验收，服务商需在2026年12月提供剩余款项的有效银行保函，采购人一次性支付剩余款项，待到项目验收通过后中心退还保函。若项目履约验收通过后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1.按《中华人民共和国民法典》中的相关条款执行。 2.未按合同要求提供服务或服务质量不能满足服务要求的，采购人有权终止合同。 3.因服务商违约造成采购人损失的，由服务商承担全部的损失赔偿责任，包括但不限于直接经济损失及采购人因此开支的交通费、公证费、鉴定费、诉讼费、仲裁费、律师费、保全费、保险费等一切费用。 4.服务商如不能及时开具全额发票或采购人要求的保函，采购人有权延时付款且不承担违约责任，直至服务商开具全额发票或采购人要求的保函后再进行付款。 （二）解决争议的方法：双方本着友好合作的态度,对合同履行过程中发生的纠纷应及时协商解决，协商不成的，向采购人所在地有管辖权的人民法院诉讼解决。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3.4.2本项目为专门面向中小企业采购，供应商应为中小微企业、残疾人企业或监狱企业。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工程设计综合资质甲级或工程设计公路行业甲级或工程设计电子通信广电行业甲级或工程设计公路行业（交通工程）专业甲级或工程设计电子通信广电行业（电子系统工程）专业甲级，并为“全国投资项目在线审批监管平台”（https://new.tzxm.gov.cn）已备案的工程咨询单位（咨询专业包含公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三、赋分标准（满分6分） 1、对项目背景的理解：每完全满足一个评审标准得 1分，满分3分； 2、对项目的需求分析：每完全满足一个评审标准得 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针对本项目服务内容及要求，详细列明项目整体服务方案，方案内容包括： 1、服务目标； 2、服务计划； 3、各阶段工作的重难点分析； 4、服务成果。 二、评审标准 1、完整性：方案必须全面，对评审内容中的各项要求有详细描述； 2、可实施性：切合本项目实际情况，实施步骤清晰、合理、可行； 3、针对性：方案能够紧扣项目实际需求，内容科学合理。 三、赋分标准（满分12分） 1、服务目标：每完全满足一个评审标准得 1分，满分 3分； 2、服务计划：每完全满足一个评审标准得 1 分，满分3 分； 3、各阶段工作的重难点分析：每完全满足一个评审标准得 1 分，满分3 分； 4、服务成果：每完全满足一个评审标准得1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2、拟投入本项目的人员配置（提供简历表等，格式自拟，包括但不限于姓名、职务、职称、年龄、工作经验、年限、学历等相关信息）； 3、人员专业技术能力。 二、评审标准 1、完整性：人员配置必须全面，对评审内容中的各项要求有详细描述； 2、可实施性：切合本项目实际情况，人员分工明确，岗位设置合理、可行； 3、针对性：人员配置及专业技术能力能够紧扣项目实际需求，科学合理。 三、赋分标准（满分9分） 1、人员组织结构：每完全满足一个评审标准得1分，满分 3分； 2、拟投入本项目的人员配置（提供简历表等，格式自拟，包括但不限于姓名、职务、职称、年龄、工作经验、年限、学历等相关信息）：每完全满足一个评审标准得 1 分，满分3 分； 3、人员专业技术能力：每完全满足一个评审标准得1分，满分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一、评审内容 供应商需针对服务内容及要求，提供项目实施进度安排，内容包括： 1、现场调研及基础资料收集阶段的进度计划安排； 2、工可阶段工作的进度计划安排； 3、设计阶段编制工作的进度计划安排； 4、项目验收阶段的计划安排。 二、评审标准 1、完整性：内容必须全面，对评审内容中的各项要求有详细描述； 2、可实施性：切合本项目实际情况，实施步骤清晰、合理、可行； 3、针对性：描述能够紧扣项目实际需求，内容科学合理。 三、赋分标准（满分12分） 1、现场调研及基础资料收集阶段的进度计划安排：每完全满足一个评审标准得 1分，满分 3分； 2、工可阶段工作的进度计划安排：每完全满足一个评审标准得 1分，满分 3分； 3、设计阶段编制工作的进度计划安排：每完全满足一个评审标准得 1分，满分 3分； 4、项目验收阶段的计划安排：每完全满足一个评审标准得 1分，满分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供应商需针对服务内容及要求，提供服务保障方案，内容包括： 1、现场调研及基础资料收集阶段保障方案； 2、工可阶段工作保障方案； 3、设计阶段编制保障方案； 4、评审阶段保障方案。 二、评审标准 1、完整性：内容必须全面，对评审内容中的各项要求有详细描述； 2、可实施性：切合本项目实际情况，实施步骤清晰、合理、可行； 3、针对性：描述能够紧扣项目实际需求，内容科学合理。 三、赋分标准（满分12分） 1、现场调研及基础资料收集阶段保障方案：每完全满足一个评审标准得 1分，满分 3分； 2、工可阶段工作保障方案：每完全满足一个评审标准得 1分，满分 3分； 3、设计阶段编制保障方案：每完全满足一个评审标准得 1分，满分 3分； 4、评审阶段保障方案：每完全满足一个评审标准得 1分，满分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 为保证可行性研究报告及设计工作的服务质量，服务能力内容包括： 1、成本控制的保障措施； 2、技术服务的保障措施。 二、评审标准 1、完整性：对评审内容中的各项要求有全面、详细描述； 2、可实施性：切合项目实际情况，各项内容清晰、合理、可行； 3、针对性：各项描述能够满足项目咨询和设计服务的实际需求，内容科学合理。 三、赋分标准（满分6分） 1、成本控制的保障措施：每完全满足一个评审标准得1分，满分3分； 2、技术服务的保障措施：每完全满足一个评审标准得1分，满分3分。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根据项目情况提供完整的管理制度，包括： 1、日常管理制度； 2、内部监督考核制度。 二、评审标准 1、完整性：对评审内容中的各项制度有全面、详细描述； 2、可实施性：切合项目实际情况，各项制度内容清晰、合理、可行； 3、针对性：各项制度能够紧扣项目及采购人实际需求，内容科学合理。 三、赋分标准（满分3分） 1、日常管理制度：每完全满足一个评审标准得0.5分，满分1.5分； 2、内部监督考核制度：每完全满足一个评审标准得0.5分，满分1.5分。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后期服务保障措施</w:t>
            </w:r>
          </w:p>
        </w:tc>
        <w:tc>
          <w:tcPr>
            <w:tcW w:type="dxa" w:w="2492"/>
          </w:tcPr>
          <w:p>
            <w:pPr>
              <w:pStyle w:val="null3"/>
            </w:pPr>
            <w:r>
              <w:rPr>
                <w:rFonts w:ascii="仿宋_GB2312" w:hAnsi="仿宋_GB2312" w:cs="仿宋_GB2312" w:eastAsia="仿宋_GB2312"/>
              </w:rPr>
              <w:t>一、评审内容 为保证项目服务工作的顺利进行，应提供后期服务工作的保障措施，包括： 1、履约验收保障措施； 2、配合各阶段评审工作的保障措施。 二、评审标准 1、完整性：对评审内容中的各项措施有全面、详细描述； 2、可实施性：切合项目实际情况，各项措施内容清晰、合理、可行； 3、针对性：各项措施能够紧扣项目及采购人实际要求，内容科学合理。 三、赋分标准（满分6分） 1、履约验收保障措施：每完全满足一个评审标准得1分，满分3分； 2、配合各阶段评审工作的保障措施：每完全满足一个评审标准得1分，满分3分。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1、承诺：严格按照项目服务内容及要求，保证采购人要求的各项服务时限完成服务，确保各项工作有序推进，得2分。无承诺不得分。 2、承诺：供应商对本项目拟派人员管理的岗位设置明确，为保证项目的正常实施，在项目服务周期内不得随意更换服务人员，得2分。无承诺不得分。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供应商应提供2023年1月1日起至今类似项目业绩，每提供1份业绩得2分，满分10分。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