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51A33A">
      <w:pPr>
        <w:keepNext w:val="0"/>
        <w:keepLines w:val="0"/>
        <w:pageBreakBefore w:val="0"/>
        <w:shd w:val="clear"/>
        <w:kinsoku w:val="0"/>
        <w:wordWrap/>
        <w:overflowPunct w:val="0"/>
        <w:topLinePunct w:val="0"/>
        <w:bidi w:val="0"/>
        <w:rPr>
          <w:rFonts w:hint="eastAsia" w:ascii="宋体" w:hAnsi="宋体" w:cs="宋体"/>
          <w:color w:val="auto"/>
          <w:highlight w:val="none"/>
        </w:rPr>
      </w:pPr>
    </w:p>
    <w:p w14:paraId="1391CD9B">
      <w:pPr>
        <w:shd w:val="clear"/>
        <w:bidi w:val="0"/>
        <w:rPr>
          <w:rFonts w:hint="eastAsia"/>
          <w:color w:val="auto"/>
          <w:highlight w:val="none"/>
        </w:rPr>
      </w:pPr>
    </w:p>
    <w:p w14:paraId="2AA44626">
      <w:pPr>
        <w:keepNext w:val="0"/>
        <w:keepLines w:val="0"/>
        <w:pageBreakBefore w:val="0"/>
        <w:widowControl w:val="0"/>
        <w:shd w:val="clear"/>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b/>
          <w:bCs/>
          <w:color w:val="auto"/>
          <w:sz w:val="48"/>
          <w:szCs w:val="48"/>
          <w:highlight w:val="none"/>
          <w:lang w:eastAsia="zh-CN"/>
        </w:rPr>
      </w:pPr>
    </w:p>
    <w:p w14:paraId="26E6EADA">
      <w:pPr>
        <w:keepNext w:val="0"/>
        <w:keepLines w:val="0"/>
        <w:pageBreakBefore w:val="0"/>
        <w:widowControl w:val="0"/>
        <w:shd w:val="clea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西安浐灞国际港辖区公办学校2026-2027学年大宗食材(奶)</w:t>
      </w:r>
    </w:p>
    <w:p w14:paraId="6EFF4D03">
      <w:pPr>
        <w:keepNext w:val="0"/>
        <w:keepLines w:val="0"/>
        <w:pageBreakBefore w:val="0"/>
        <w:widowControl w:val="0"/>
        <w:shd w:val="clea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采购项目(第</w:t>
      </w:r>
      <w:r>
        <w:rPr>
          <w:rFonts w:hint="eastAsia" w:ascii="宋体" w:hAnsi="宋体" w:eastAsia="宋体" w:cs="宋体"/>
          <w:b/>
          <w:bCs/>
          <w:color w:val="auto"/>
          <w:sz w:val="36"/>
          <w:szCs w:val="36"/>
          <w:highlight w:val="none"/>
          <w:lang w:val="en-US" w:eastAsia="zh-CN"/>
        </w:rPr>
        <w:t>二</w:t>
      </w:r>
      <w:r>
        <w:rPr>
          <w:rFonts w:hint="eastAsia" w:ascii="宋体" w:hAnsi="宋体" w:eastAsia="宋体" w:cs="宋体"/>
          <w:b/>
          <w:bCs/>
          <w:color w:val="auto"/>
          <w:sz w:val="36"/>
          <w:szCs w:val="36"/>
          <w:highlight w:val="none"/>
          <w:lang w:eastAsia="zh-CN"/>
        </w:rPr>
        <w:t>批)（</w:t>
      </w:r>
      <w:r>
        <w:rPr>
          <w:rFonts w:hint="eastAsia" w:ascii="宋体" w:hAnsi="宋体" w:eastAsia="宋体" w:cs="宋体"/>
          <w:b/>
          <w:bCs/>
          <w:color w:val="auto"/>
          <w:sz w:val="36"/>
          <w:szCs w:val="36"/>
          <w:highlight w:val="none"/>
          <w:lang w:val="en-US" w:eastAsia="zh-CN"/>
        </w:rPr>
        <w:t>第※包</w:t>
      </w:r>
      <w:r>
        <w:rPr>
          <w:rFonts w:hint="eastAsia" w:ascii="宋体" w:hAnsi="宋体" w:eastAsia="宋体" w:cs="宋体"/>
          <w:b/>
          <w:bCs/>
          <w:color w:val="auto"/>
          <w:sz w:val="36"/>
          <w:szCs w:val="36"/>
          <w:highlight w:val="none"/>
          <w:lang w:eastAsia="zh-CN"/>
        </w:rPr>
        <w:t>）</w:t>
      </w:r>
    </w:p>
    <w:p w14:paraId="63A0CB0F">
      <w:pPr>
        <w:shd w:val="clear"/>
        <w:rPr>
          <w:rFonts w:hint="eastAsia" w:ascii="宋体" w:hAnsi="宋体" w:eastAsia="宋体" w:cs="宋体"/>
          <w:b/>
          <w:bCs/>
          <w:color w:val="auto"/>
          <w:sz w:val="36"/>
          <w:szCs w:val="36"/>
          <w:highlight w:val="none"/>
          <w:lang w:eastAsia="zh-CN"/>
        </w:rPr>
      </w:pPr>
    </w:p>
    <w:p w14:paraId="7FB56FF0">
      <w:pPr>
        <w:pStyle w:val="2"/>
        <w:shd w:val="clear"/>
        <w:rPr>
          <w:rFonts w:hint="eastAsia"/>
          <w:color w:val="auto"/>
          <w:sz w:val="22"/>
          <w:szCs w:val="22"/>
          <w:highlight w:val="none"/>
          <w:lang w:eastAsia="zh-CN"/>
        </w:rPr>
      </w:pPr>
      <w:bookmarkStart w:id="2" w:name="_GoBack"/>
      <w:bookmarkEnd w:id="2"/>
    </w:p>
    <w:p w14:paraId="66EEBC44">
      <w:pPr>
        <w:pStyle w:val="3"/>
        <w:shd w:val="clear"/>
        <w:spacing w:line="540" w:lineRule="exact"/>
        <w:jc w:val="center"/>
        <w:rPr>
          <w:rFonts w:hint="eastAsia" w:ascii="宋体" w:hAnsi="宋体" w:eastAsia="宋体" w:cs="宋体"/>
          <w:color w:val="auto"/>
          <w:sz w:val="22"/>
          <w:szCs w:val="22"/>
          <w:highlight w:val="none"/>
        </w:rPr>
      </w:pPr>
      <w:r>
        <w:rPr>
          <w:rFonts w:hint="eastAsia" w:ascii="宋体" w:hAnsi="宋体" w:eastAsia="宋体" w:cs="宋体"/>
          <w:b/>
          <w:color w:val="auto"/>
          <w:sz w:val="28"/>
          <w:szCs w:val="28"/>
          <w:highlight w:val="none"/>
        </w:rPr>
        <w:t>（本格式条款供双方签订合同参考，采购人可根据项目的实际情况增加条款和内容）</w:t>
      </w:r>
    </w:p>
    <w:p w14:paraId="62C1F20E">
      <w:pPr>
        <w:shd w:val="clear"/>
        <w:spacing w:line="540" w:lineRule="exact"/>
        <w:jc w:val="center"/>
        <w:rPr>
          <w:rFonts w:hint="eastAsia" w:ascii="宋体" w:hAnsi="宋体" w:eastAsia="宋体" w:cs="宋体"/>
          <w:b/>
          <w:color w:val="auto"/>
          <w:sz w:val="48"/>
          <w:szCs w:val="48"/>
          <w:highlight w:val="none"/>
        </w:rPr>
      </w:pPr>
    </w:p>
    <w:p w14:paraId="40A29CAC">
      <w:pPr>
        <w:shd w:val="clear"/>
        <w:spacing w:line="540" w:lineRule="exact"/>
        <w:jc w:val="center"/>
        <w:rPr>
          <w:rFonts w:hint="eastAsia" w:ascii="宋体" w:hAnsi="宋体" w:eastAsia="宋体" w:cs="宋体"/>
          <w:b/>
          <w:bCs/>
          <w:color w:val="auto"/>
          <w:sz w:val="30"/>
          <w:szCs w:val="30"/>
          <w:highlight w:val="none"/>
        </w:rPr>
      </w:pPr>
      <w:r>
        <w:rPr>
          <w:rFonts w:hint="eastAsia" w:ascii="宋体" w:hAnsi="宋体" w:eastAsia="宋体" w:cs="宋体"/>
          <w:b/>
          <w:color w:val="auto"/>
          <w:sz w:val="32"/>
          <w:szCs w:val="32"/>
          <w:highlight w:val="none"/>
        </w:rPr>
        <w:t>合同编号：</w:t>
      </w:r>
      <w:r>
        <w:rPr>
          <w:rFonts w:hint="eastAsia" w:ascii="宋体" w:hAnsi="宋体" w:eastAsia="宋体" w:cs="宋体"/>
          <w:b/>
          <w:bCs/>
          <w:color w:val="auto"/>
          <w:sz w:val="30"/>
          <w:szCs w:val="30"/>
          <w:highlight w:val="none"/>
        </w:rPr>
        <w:t>XXXX</w:t>
      </w:r>
    </w:p>
    <w:p w14:paraId="32DF648A">
      <w:pPr>
        <w:pStyle w:val="8"/>
        <w:keepNext w:val="0"/>
        <w:keepLines w:val="0"/>
        <w:pageBreakBefore w:val="0"/>
        <w:shd w:val="clear"/>
        <w:kinsoku/>
        <w:wordWrap/>
        <w:overflowPunct/>
        <w:topLinePunct w:val="0"/>
        <w:autoSpaceDE/>
        <w:autoSpaceDN/>
        <w:bidi w:val="0"/>
        <w:spacing w:line="360" w:lineRule="auto"/>
        <w:ind w:leftChars="0" w:firstLine="600" w:firstLineChars="200"/>
        <w:jc w:val="center"/>
        <w:textAlignment w:val="auto"/>
        <w:rPr>
          <w:rFonts w:hint="eastAsia" w:ascii="宋体" w:hAnsi="宋体" w:eastAsia="宋体" w:cs="宋体"/>
          <w:color w:val="auto"/>
          <w:sz w:val="30"/>
          <w:szCs w:val="30"/>
          <w:highlight w:val="none"/>
        </w:rPr>
      </w:pPr>
    </w:p>
    <w:p w14:paraId="600BD0BA">
      <w:pPr>
        <w:pStyle w:val="8"/>
        <w:keepNext w:val="0"/>
        <w:keepLines w:val="0"/>
        <w:pageBreakBefore w:val="0"/>
        <w:shd w:val="clear"/>
        <w:kinsoku/>
        <w:wordWrap/>
        <w:overflowPunct/>
        <w:topLinePunct w:val="0"/>
        <w:autoSpaceDE/>
        <w:autoSpaceDN/>
        <w:bidi w:val="0"/>
        <w:spacing w:line="360" w:lineRule="auto"/>
        <w:ind w:leftChars="0" w:firstLine="600" w:firstLineChars="200"/>
        <w:jc w:val="center"/>
        <w:textAlignment w:val="auto"/>
        <w:rPr>
          <w:rFonts w:hint="eastAsia" w:ascii="宋体" w:hAnsi="宋体" w:eastAsia="宋体" w:cs="宋体"/>
          <w:color w:val="auto"/>
          <w:sz w:val="30"/>
          <w:szCs w:val="30"/>
          <w:highlight w:val="none"/>
        </w:rPr>
      </w:pPr>
    </w:p>
    <w:p w14:paraId="22FB6F42">
      <w:pPr>
        <w:pStyle w:val="8"/>
        <w:keepNext w:val="0"/>
        <w:keepLines w:val="0"/>
        <w:pageBreakBefore w:val="0"/>
        <w:shd w:val="clear"/>
        <w:kinsoku/>
        <w:wordWrap/>
        <w:overflowPunct/>
        <w:topLinePunct w:val="0"/>
        <w:autoSpaceDE/>
        <w:autoSpaceDN/>
        <w:bidi w:val="0"/>
        <w:spacing w:line="360" w:lineRule="auto"/>
        <w:ind w:leftChars="0" w:firstLine="600" w:firstLineChars="200"/>
        <w:jc w:val="center"/>
        <w:textAlignment w:val="auto"/>
        <w:rPr>
          <w:rFonts w:hint="eastAsia" w:ascii="宋体" w:hAnsi="宋体" w:eastAsia="宋体" w:cs="宋体"/>
          <w:color w:val="auto"/>
          <w:sz w:val="30"/>
          <w:szCs w:val="30"/>
          <w:highlight w:val="none"/>
        </w:rPr>
      </w:pPr>
    </w:p>
    <w:p w14:paraId="1922CF09">
      <w:pPr>
        <w:pStyle w:val="8"/>
        <w:keepNext w:val="0"/>
        <w:keepLines w:val="0"/>
        <w:pageBreakBefore w:val="0"/>
        <w:shd w:val="clear"/>
        <w:kinsoku/>
        <w:wordWrap/>
        <w:overflowPunct/>
        <w:topLinePunct w:val="0"/>
        <w:autoSpaceDE/>
        <w:autoSpaceDN/>
        <w:bidi w:val="0"/>
        <w:spacing w:line="360" w:lineRule="auto"/>
        <w:ind w:leftChars="0" w:firstLine="600" w:firstLineChars="200"/>
        <w:jc w:val="center"/>
        <w:textAlignment w:val="auto"/>
        <w:rPr>
          <w:rFonts w:hint="eastAsia" w:ascii="宋体" w:hAnsi="宋体" w:eastAsia="宋体" w:cs="宋体"/>
          <w:color w:val="auto"/>
          <w:sz w:val="30"/>
          <w:szCs w:val="30"/>
          <w:highlight w:val="none"/>
        </w:rPr>
      </w:pPr>
    </w:p>
    <w:p w14:paraId="1C49A7F5">
      <w:pPr>
        <w:pStyle w:val="8"/>
        <w:keepNext w:val="0"/>
        <w:keepLines w:val="0"/>
        <w:pageBreakBefore w:val="0"/>
        <w:shd w:val="clear"/>
        <w:kinsoku/>
        <w:wordWrap/>
        <w:overflowPunct/>
        <w:topLinePunct w:val="0"/>
        <w:autoSpaceDE/>
        <w:autoSpaceDN/>
        <w:bidi w:val="0"/>
        <w:spacing w:line="360" w:lineRule="auto"/>
        <w:ind w:leftChars="0" w:firstLine="600" w:firstLineChars="200"/>
        <w:jc w:val="center"/>
        <w:textAlignment w:val="auto"/>
        <w:rPr>
          <w:rFonts w:hint="eastAsia" w:ascii="宋体" w:hAnsi="宋体" w:eastAsia="宋体" w:cs="宋体"/>
          <w:color w:val="auto"/>
          <w:sz w:val="30"/>
          <w:szCs w:val="30"/>
          <w:highlight w:val="none"/>
        </w:rPr>
      </w:pPr>
    </w:p>
    <w:p w14:paraId="50BCF945">
      <w:pPr>
        <w:widowControl/>
        <w:shd w:val="clear"/>
        <w:spacing w:line="540" w:lineRule="exact"/>
        <w:ind w:left="0" w:leftChars="0" w:firstLine="1263" w:firstLineChars="344"/>
        <w:rPr>
          <w:rFonts w:hint="eastAsia" w:ascii="宋体" w:hAnsi="宋体" w:eastAsia="宋体" w:cs="宋体"/>
          <w:b/>
          <w:color w:val="auto"/>
          <w:spacing w:val="23"/>
          <w:sz w:val="32"/>
          <w:szCs w:val="32"/>
          <w:highlight w:val="none"/>
        </w:rPr>
      </w:pPr>
      <w:r>
        <w:rPr>
          <w:rFonts w:hint="eastAsia" w:ascii="宋体" w:hAnsi="宋体" w:eastAsia="宋体" w:cs="宋体"/>
          <w:b/>
          <w:color w:val="auto"/>
          <w:spacing w:val="23"/>
          <w:sz w:val="32"/>
          <w:szCs w:val="32"/>
          <w:highlight w:val="none"/>
        </w:rPr>
        <w:t>甲方(**学校)：</w:t>
      </w:r>
    </w:p>
    <w:p w14:paraId="054E2C22">
      <w:pPr>
        <w:widowControl/>
        <w:shd w:val="clear"/>
        <w:spacing w:line="540" w:lineRule="exact"/>
        <w:ind w:left="0" w:leftChars="0" w:firstLine="1263" w:firstLineChars="344"/>
        <w:rPr>
          <w:rFonts w:hint="eastAsia" w:ascii="宋体" w:hAnsi="宋体" w:eastAsia="宋体" w:cs="宋体"/>
          <w:b/>
          <w:color w:val="auto"/>
          <w:spacing w:val="23"/>
          <w:sz w:val="32"/>
          <w:szCs w:val="32"/>
          <w:highlight w:val="none"/>
        </w:rPr>
      </w:pPr>
      <w:r>
        <w:rPr>
          <w:rFonts w:hint="eastAsia" w:ascii="宋体" w:hAnsi="宋体" w:eastAsia="宋体" w:cs="宋体"/>
          <w:b/>
          <w:color w:val="auto"/>
          <w:spacing w:val="23"/>
          <w:sz w:val="32"/>
          <w:szCs w:val="32"/>
          <w:highlight w:val="none"/>
        </w:rPr>
        <w:t>乙方(供应商)：</w:t>
      </w:r>
    </w:p>
    <w:p w14:paraId="56584327">
      <w:pPr>
        <w:widowControl/>
        <w:shd w:val="clear"/>
        <w:spacing w:line="540" w:lineRule="exact"/>
        <w:ind w:left="0" w:leftChars="0" w:firstLine="1263" w:firstLineChars="344"/>
        <w:rPr>
          <w:rFonts w:hint="eastAsia" w:ascii="宋体" w:hAnsi="宋体" w:eastAsia="宋体" w:cs="宋体"/>
          <w:color w:val="auto"/>
          <w:spacing w:val="23"/>
          <w:sz w:val="28"/>
          <w:szCs w:val="28"/>
          <w:highlight w:val="none"/>
          <w:u w:val="single"/>
        </w:rPr>
      </w:pPr>
      <w:r>
        <w:rPr>
          <w:rFonts w:hint="eastAsia" w:ascii="宋体" w:hAnsi="宋体" w:eastAsia="宋体" w:cs="宋体"/>
          <w:b/>
          <w:color w:val="auto"/>
          <w:spacing w:val="23"/>
          <w:sz w:val="32"/>
          <w:szCs w:val="32"/>
          <w:highlight w:val="none"/>
        </w:rPr>
        <w:t>签订时间：</w:t>
      </w:r>
      <w:r>
        <w:rPr>
          <w:rFonts w:hint="eastAsia" w:ascii="宋体" w:hAnsi="宋体" w:eastAsia="宋体" w:cs="宋体"/>
          <w:color w:val="auto"/>
          <w:spacing w:val="23"/>
          <w:sz w:val="28"/>
          <w:szCs w:val="28"/>
          <w:highlight w:val="none"/>
          <w:u w:val="single"/>
        </w:rPr>
        <w:t></w:t>
      </w:r>
      <w:r>
        <w:rPr>
          <w:rFonts w:hint="eastAsia" w:ascii="宋体" w:hAnsi="宋体" w:eastAsia="宋体" w:cs="宋体"/>
          <w:b/>
          <w:color w:val="auto"/>
          <w:spacing w:val="23"/>
          <w:sz w:val="32"/>
          <w:szCs w:val="32"/>
          <w:highlight w:val="none"/>
        </w:rPr>
        <w:t>年</w:t>
      </w:r>
      <w:r>
        <w:rPr>
          <w:rFonts w:hint="eastAsia" w:ascii="宋体" w:hAnsi="宋体" w:eastAsia="宋体" w:cs="宋体"/>
          <w:color w:val="auto"/>
          <w:spacing w:val="23"/>
          <w:sz w:val="28"/>
          <w:szCs w:val="28"/>
          <w:highlight w:val="none"/>
          <w:u w:val="single"/>
        </w:rPr>
        <w:t></w:t>
      </w:r>
      <w:r>
        <w:rPr>
          <w:rFonts w:hint="eastAsia" w:ascii="宋体" w:hAnsi="宋体" w:eastAsia="宋体" w:cs="宋体"/>
          <w:b/>
          <w:color w:val="auto"/>
          <w:spacing w:val="23"/>
          <w:sz w:val="32"/>
          <w:szCs w:val="32"/>
          <w:highlight w:val="none"/>
        </w:rPr>
        <w:t>月</w:t>
      </w:r>
      <w:r>
        <w:rPr>
          <w:rFonts w:hint="eastAsia" w:ascii="宋体" w:hAnsi="宋体" w:eastAsia="宋体" w:cs="宋体"/>
          <w:color w:val="auto"/>
          <w:spacing w:val="23"/>
          <w:sz w:val="28"/>
          <w:szCs w:val="28"/>
          <w:highlight w:val="none"/>
          <w:u w:val="single"/>
        </w:rPr>
        <w:t></w:t>
      </w:r>
    </w:p>
    <w:p w14:paraId="3E009FDD">
      <w:pPr>
        <w:pStyle w:val="2"/>
        <w:shd w:val="clear"/>
        <w:rPr>
          <w:rFonts w:hint="eastAsia" w:ascii="宋体" w:hAnsi="宋体" w:eastAsia="宋体" w:cs="宋体"/>
          <w:color w:val="auto"/>
          <w:spacing w:val="23"/>
          <w:sz w:val="28"/>
          <w:szCs w:val="28"/>
          <w:highlight w:val="none"/>
          <w:u w:val="single"/>
        </w:rPr>
      </w:pPr>
    </w:p>
    <w:p w14:paraId="705E9461">
      <w:pPr>
        <w:shd w:val="clear"/>
        <w:rPr>
          <w:rFonts w:hint="eastAsia" w:ascii="宋体" w:hAnsi="宋体" w:eastAsia="宋体" w:cs="宋体"/>
          <w:color w:val="auto"/>
          <w:spacing w:val="23"/>
          <w:sz w:val="28"/>
          <w:szCs w:val="28"/>
          <w:highlight w:val="none"/>
          <w:u w:val="single"/>
        </w:rPr>
      </w:pPr>
    </w:p>
    <w:p w14:paraId="2D5E712E">
      <w:pPr>
        <w:pStyle w:val="2"/>
        <w:shd w:val="clear"/>
        <w:rPr>
          <w:rFonts w:hint="eastAsia" w:ascii="宋体" w:hAnsi="宋体" w:eastAsia="宋体" w:cs="宋体"/>
          <w:color w:val="auto"/>
          <w:spacing w:val="23"/>
          <w:sz w:val="28"/>
          <w:szCs w:val="28"/>
          <w:highlight w:val="none"/>
          <w:u w:val="single"/>
        </w:rPr>
      </w:pPr>
    </w:p>
    <w:p w14:paraId="43436834">
      <w:pPr>
        <w:pStyle w:val="8"/>
        <w:keepNext w:val="0"/>
        <w:keepLines w:val="0"/>
        <w:pageBreakBefore w:val="0"/>
        <w:shd w:val="clear"/>
        <w:kinsoku/>
        <w:wordWrap/>
        <w:overflowPunct/>
        <w:topLinePunct w:val="0"/>
        <w:autoSpaceDE/>
        <w:autoSpaceDN/>
        <w:bidi w:val="0"/>
        <w:spacing w:line="360" w:lineRule="auto"/>
        <w:ind w:leftChars="0" w:firstLine="420" w:firstLineChars="200"/>
        <w:textAlignment w:val="auto"/>
        <w:rPr>
          <w:rFonts w:hint="eastAsia" w:ascii="宋体" w:hAnsi="宋体" w:eastAsia="宋体" w:cs="宋体"/>
          <w:i/>
          <w:iCs/>
          <w:color w:val="auto"/>
          <w:sz w:val="21"/>
          <w:szCs w:val="21"/>
          <w:highlight w:val="none"/>
          <w:lang w:eastAsia="zh-CN"/>
        </w:rPr>
      </w:pPr>
      <w:r>
        <w:rPr>
          <w:rFonts w:hint="eastAsia" w:cs="宋体"/>
          <w:i/>
          <w:iCs/>
          <w:color w:val="auto"/>
          <w:sz w:val="21"/>
          <w:szCs w:val="21"/>
          <w:highlight w:val="none"/>
          <w:lang w:val="en-US" w:eastAsia="zh-CN"/>
        </w:rPr>
        <w:t>注：</w:t>
      </w:r>
      <w:r>
        <w:rPr>
          <w:rFonts w:hint="eastAsia" w:ascii="宋体" w:hAnsi="宋体" w:eastAsia="宋体" w:cs="宋体"/>
          <w:i/>
          <w:iCs/>
          <w:color w:val="auto"/>
          <w:sz w:val="21"/>
          <w:szCs w:val="21"/>
          <w:highlight w:val="none"/>
          <w:lang w:eastAsia="zh-CN"/>
        </w:rPr>
        <w:t>采购完成后,由教育主管部门负责组织中标供应商与相关学校签订合同,非独立法人单位由中心校签订公同。</w:t>
      </w:r>
    </w:p>
    <w:p w14:paraId="379E18E4">
      <w:pPr>
        <w:shd w:val="clear"/>
        <w:rPr>
          <w:rFonts w:hint="eastAsia" w:ascii="仿宋" w:hAnsi="仿宋" w:eastAsia="仿宋" w:cs="仿宋"/>
          <w:b/>
          <w:bCs/>
          <w:snapToGrid/>
          <w:color w:val="auto"/>
          <w:kern w:val="0"/>
          <w:sz w:val="24"/>
          <w:szCs w:val="24"/>
          <w:highlight w:val="none"/>
          <w:lang w:val="zh-CN" w:eastAsia="zh-CN"/>
        </w:rPr>
      </w:pPr>
      <w:r>
        <w:rPr>
          <w:rFonts w:hint="eastAsia" w:ascii="仿宋" w:hAnsi="仿宋" w:eastAsia="仿宋" w:cs="仿宋"/>
          <w:b/>
          <w:bCs/>
          <w:snapToGrid/>
          <w:color w:val="auto"/>
          <w:kern w:val="0"/>
          <w:sz w:val="24"/>
          <w:szCs w:val="24"/>
          <w:highlight w:val="none"/>
          <w:lang w:val="zh-CN" w:eastAsia="zh-CN"/>
        </w:rPr>
        <w:br w:type="page"/>
      </w:r>
    </w:p>
    <w:p w14:paraId="5B902AF2">
      <w:pPr>
        <w:widowControl w:val="0"/>
        <w:shd w:val="clear"/>
        <w:kinsoku/>
        <w:autoSpaceDE w:val="0"/>
        <w:autoSpaceDN w:val="0"/>
        <w:adjustRightInd w:val="0"/>
        <w:snapToGrid w:val="0"/>
        <w:spacing w:line="560" w:lineRule="exact"/>
        <w:jc w:val="center"/>
        <w:textAlignment w:val="auto"/>
        <w:outlineLvl w:val="9"/>
        <w:rPr>
          <w:rFonts w:hint="eastAsia" w:ascii="仿宋" w:hAnsi="仿宋" w:eastAsia="仿宋" w:cs="仿宋"/>
          <w:b/>
          <w:bCs/>
          <w:snapToGrid/>
          <w:color w:val="auto"/>
          <w:kern w:val="0"/>
          <w:sz w:val="24"/>
          <w:szCs w:val="24"/>
          <w:highlight w:val="none"/>
          <w:lang w:val="zh-CN" w:eastAsia="zh-CN"/>
        </w:rPr>
      </w:pPr>
      <w:r>
        <w:rPr>
          <w:rFonts w:hint="eastAsia" w:ascii="仿宋" w:hAnsi="仿宋" w:eastAsia="仿宋" w:cs="仿宋"/>
          <w:b/>
          <w:bCs/>
          <w:snapToGrid/>
          <w:color w:val="auto"/>
          <w:kern w:val="0"/>
          <w:sz w:val="24"/>
          <w:szCs w:val="24"/>
          <w:highlight w:val="none"/>
          <w:lang w:val="zh-CN" w:eastAsia="zh-CN"/>
        </w:rPr>
        <w:t>西安浐灞国际港辖区公办学校2026-2027学年大宗食材(奶)采购项目(第</w:t>
      </w:r>
      <w:r>
        <w:rPr>
          <w:rFonts w:hint="eastAsia" w:ascii="仿宋" w:hAnsi="仿宋" w:eastAsia="仿宋" w:cs="仿宋"/>
          <w:b/>
          <w:bCs/>
          <w:snapToGrid/>
          <w:color w:val="auto"/>
          <w:kern w:val="0"/>
          <w:sz w:val="24"/>
          <w:szCs w:val="24"/>
          <w:highlight w:val="none"/>
          <w:lang w:val="en-US" w:eastAsia="zh-CN"/>
        </w:rPr>
        <w:t>二</w:t>
      </w:r>
      <w:r>
        <w:rPr>
          <w:rFonts w:hint="eastAsia" w:ascii="仿宋" w:hAnsi="仿宋" w:eastAsia="仿宋" w:cs="仿宋"/>
          <w:b/>
          <w:bCs/>
          <w:snapToGrid/>
          <w:color w:val="auto"/>
          <w:kern w:val="0"/>
          <w:sz w:val="24"/>
          <w:szCs w:val="24"/>
          <w:highlight w:val="none"/>
          <w:lang w:val="zh-CN" w:eastAsia="zh-CN"/>
        </w:rPr>
        <w:t>批)</w:t>
      </w:r>
    </w:p>
    <w:p w14:paraId="79372C0E">
      <w:pPr>
        <w:shd w:val="clear"/>
        <w:autoSpaceDE w:val="0"/>
        <w:autoSpaceDN w:val="0"/>
        <w:adjustRightInd w:val="0"/>
        <w:snapToGrid w:val="0"/>
        <w:spacing w:line="560" w:lineRule="exact"/>
        <w:jc w:val="center"/>
        <w:outlineLvl w:val="9"/>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采购供货合同范本</w:t>
      </w:r>
    </w:p>
    <w:p w14:paraId="4312139E">
      <w:pPr>
        <w:keepNext w:val="0"/>
        <w:keepLines w:val="0"/>
        <w:pageBreakBefore w:val="0"/>
        <w:widowControl w:val="0"/>
        <w:shd w:val="clear"/>
        <w:kinsoku/>
        <w:wordWrap/>
        <w:overflowPunct/>
        <w:topLinePunct w:val="0"/>
        <w:autoSpaceDE/>
        <w:autoSpaceDN/>
        <w:bidi w:val="0"/>
        <w:adjustRightInd w:val="0"/>
        <w:snapToGrid w:val="0"/>
        <w:spacing w:line="312" w:lineRule="auto"/>
        <w:ind w:left="0" w:leftChars="0" w:firstLine="422" w:firstLineChars="200"/>
        <w:textAlignment w:val="auto"/>
        <w:rPr>
          <w:rFonts w:hint="eastAsia" w:ascii="仿宋" w:hAnsi="仿宋" w:eastAsia="仿宋" w:cs="仿宋"/>
          <w:b/>
          <w:color w:val="auto"/>
          <w:sz w:val="21"/>
          <w:szCs w:val="21"/>
          <w:highlight w:val="none"/>
          <w:lang w:val="en-US" w:eastAsia="zh-CN"/>
        </w:rPr>
      </w:pPr>
    </w:p>
    <w:p w14:paraId="707998CE">
      <w:pPr>
        <w:keepNext w:val="0"/>
        <w:keepLines w:val="0"/>
        <w:pageBreakBefore w:val="0"/>
        <w:widowControl w:val="0"/>
        <w:shd w:val="clear"/>
        <w:kinsoku/>
        <w:wordWrap/>
        <w:overflowPunct/>
        <w:topLinePunct w:val="0"/>
        <w:autoSpaceDE/>
        <w:autoSpaceDN/>
        <w:bidi w:val="0"/>
        <w:adjustRightInd w:val="0"/>
        <w:snapToGrid w:val="0"/>
        <w:spacing w:line="312" w:lineRule="auto"/>
        <w:textAlignment w:val="auto"/>
        <w:rPr>
          <w:rFonts w:hint="eastAsia" w:ascii="仿宋" w:hAnsi="仿宋" w:eastAsia="仿宋" w:cs="仿宋"/>
          <w:b/>
          <w:color w:val="auto"/>
          <w:sz w:val="21"/>
          <w:szCs w:val="21"/>
          <w:highlight w:val="none"/>
          <w:lang w:val="en-US" w:eastAsia="zh-CN"/>
        </w:rPr>
      </w:pPr>
    </w:p>
    <w:p w14:paraId="40D6EF50">
      <w:pPr>
        <w:keepNext w:val="0"/>
        <w:keepLines w:val="0"/>
        <w:pageBreakBefore w:val="0"/>
        <w:widowControl w:val="0"/>
        <w:shd w:val="clear"/>
        <w:kinsoku/>
        <w:wordWrap/>
        <w:overflowPunct/>
        <w:topLinePunct w:val="0"/>
        <w:autoSpaceDE/>
        <w:autoSpaceDN/>
        <w:bidi w:val="0"/>
        <w:adjustRightInd w:val="0"/>
        <w:snapToGrid w:val="0"/>
        <w:spacing w:line="312" w:lineRule="auto"/>
        <w:ind w:left="0" w:leftChars="0" w:firstLine="422" w:firstLineChars="200"/>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lang w:val="en-US" w:eastAsia="zh-CN"/>
        </w:rPr>
        <w:t>甲  方</w:t>
      </w:r>
      <w:r>
        <w:rPr>
          <w:rFonts w:hint="eastAsia" w:ascii="仿宋" w:hAnsi="仿宋" w:eastAsia="仿宋" w:cs="仿宋"/>
          <w:b/>
          <w:color w:val="auto"/>
          <w:sz w:val="21"/>
          <w:szCs w:val="21"/>
          <w:highlight w:val="none"/>
        </w:rPr>
        <w:t>（</w:t>
      </w:r>
      <w:r>
        <w:rPr>
          <w:rFonts w:hint="eastAsia" w:ascii="仿宋" w:hAnsi="仿宋" w:eastAsia="仿宋" w:cs="仿宋"/>
          <w:b/>
          <w:color w:val="auto"/>
          <w:sz w:val="21"/>
          <w:szCs w:val="21"/>
          <w:highlight w:val="none"/>
          <w:lang w:val="en-US" w:eastAsia="zh-CN"/>
        </w:rPr>
        <w:t>**学校</w:t>
      </w:r>
      <w:r>
        <w:rPr>
          <w:rFonts w:hint="eastAsia" w:ascii="仿宋" w:hAnsi="仿宋" w:eastAsia="仿宋" w:cs="仿宋"/>
          <w:b/>
          <w:color w:val="auto"/>
          <w:sz w:val="21"/>
          <w:szCs w:val="21"/>
          <w:highlight w:val="none"/>
        </w:rPr>
        <w:t>）：</w:t>
      </w:r>
      <w:r>
        <w:rPr>
          <w:rFonts w:hint="eastAsia" w:ascii="仿宋" w:hAnsi="仿宋" w:eastAsia="仿宋" w:cs="仿宋"/>
          <w:b/>
          <w:color w:val="auto"/>
          <w:sz w:val="21"/>
          <w:szCs w:val="21"/>
          <w:highlight w:val="none"/>
          <w:u w:val="single"/>
        </w:rPr>
        <w:t xml:space="preserve">                                      </w:t>
      </w:r>
    </w:p>
    <w:p w14:paraId="75B9BE8E">
      <w:pPr>
        <w:keepNext w:val="0"/>
        <w:keepLines w:val="0"/>
        <w:pageBreakBefore w:val="0"/>
        <w:widowControl w:val="0"/>
        <w:shd w:val="clear"/>
        <w:kinsoku/>
        <w:wordWrap/>
        <w:overflowPunct/>
        <w:topLinePunct w:val="0"/>
        <w:autoSpaceDE/>
        <w:autoSpaceDN/>
        <w:bidi w:val="0"/>
        <w:adjustRightInd w:val="0"/>
        <w:snapToGrid w:val="0"/>
        <w:spacing w:line="312" w:lineRule="auto"/>
        <w:ind w:left="0" w:leftChars="0" w:firstLine="422" w:firstLineChars="200"/>
        <w:textAlignment w:val="auto"/>
        <w:rPr>
          <w:rFonts w:hint="eastAsia" w:ascii="仿宋" w:hAnsi="仿宋" w:eastAsia="仿宋" w:cs="仿宋"/>
          <w:color w:val="auto"/>
          <w:sz w:val="21"/>
          <w:szCs w:val="21"/>
          <w:highlight w:val="none"/>
        </w:rPr>
      </w:pPr>
      <w:r>
        <w:rPr>
          <w:rFonts w:hint="eastAsia" w:ascii="仿宋" w:hAnsi="仿宋" w:eastAsia="仿宋" w:cs="仿宋"/>
          <w:b/>
          <w:color w:val="auto"/>
          <w:sz w:val="21"/>
          <w:szCs w:val="21"/>
          <w:highlight w:val="none"/>
          <w:lang w:val="en-US" w:eastAsia="zh-CN"/>
        </w:rPr>
        <w:t>乙  方</w:t>
      </w:r>
      <w:r>
        <w:rPr>
          <w:rFonts w:hint="eastAsia" w:ascii="仿宋" w:hAnsi="仿宋" w:eastAsia="仿宋" w:cs="仿宋"/>
          <w:b/>
          <w:color w:val="auto"/>
          <w:sz w:val="21"/>
          <w:szCs w:val="21"/>
          <w:highlight w:val="none"/>
        </w:rPr>
        <w:t>（中标人）：</w:t>
      </w:r>
      <w:r>
        <w:rPr>
          <w:rFonts w:hint="eastAsia" w:ascii="仿宋" w:hAnsi="仿宋" w:eastAsia="仿宋" w:cs="仿宋"/>
          <w:b/>
          <w:color w:val="auto"/>
          <w:sz w:val="21"/>
          <w:szCs w:val="21"/>
          <w:highlight w:val="none"/>
          <w:u w:val="single"/>
        </w:rPr>
        <w:t xml:space="preserve">                                   </w:t>
      </w:r>
      <w:r>
        <w:rPr>
          <w:rFonts w:hint="eastAsia" w:ascii="仿宋" w:hAnsi="仿宋" w:eastAsia="仿宋" w:cs="仿宋"/>
          <w:color w:val="auto"/>
          <w:sz w:val="21"/>
          <w:szCs w:val="21"/>
          <w:highlight w:val="none"/>
          <w:u w:val="single"/>
        </w:rPr>
        <w:t xml:space="preserve">   </w:t>
      </w:r>
    </w:p>
    <w:p w14:paraId="0CACFE79">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420" w:firstLineChars="200"/>
        <w:textAlignment w:val="auto"/>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甲乙双方根据</w:t>
      </w:r>
      <w:r>
        <w:rPr>
          <w:rFonts w:hint="eastAsia" w:ascii="仿宋" w:hAnsi="仿宋" w:eastAsia="仿宋" w:cs="仿宋"/>
          <w:b w:val="0"/>
          <w:bCs/>
          <w:color w:val="auto"/>
          <w:sz w:val="21"/>
          <w:szCs w:val="21"/>
          <w:highlight w:val="none"/>
          <w:u w:val="single"/>
          <w:lang w:val="en-US" w:eastAsia="zh-CN"/>
        </w:rPr>
        <w:t xml:space="preserve"> 2026 </w:t>
      </w:r>
      <w:r>
        <w:rPr>
          <w:rFonts w:hint="eastAsia" w:ascii="仿宋" w:hAnsi="仿宋" w:eastAsia="仿宋" w:cs="仿宋"/>
          <w:b w:val="0"/>
          <w:bCs/>
          <w:color w:val="auto"/>
          <w:sz w:val="21"/>
          <w:szCs w:val="21"/>
          <w:highlight w:val="none"/>
          <w:lang w:val="en-US" w:eastAsia="zh-CN"/>
        </w:rPr>
        <w:t>年</w:t>
      </w:r>
      <w:r>
        <w:rPr>
          <w:rFonts w:hint="eastAsia" w:ascii="仿宋" w:hAnsi="仿宋" w:eastAsia="仿宋" w:cs="仿宋"/>
          <w:b w:val="0"/>
          <w:bCs/>
          <w:color w:val="auto"/>
          <w:sz w:val="21"/>
          <w:szCs w:val="21"/>
          <w:highlight w:val="none"/>
          <w:u w:val="single"/>
          <w:lang w:val="en-US" w:eastAsia="zh-CN"/>
        </w:rPr>
        <w:t xml:space="preserve">    </w:t>
      </w:r>
      <w:r>
        <w:rPr>
          <w:rFonts w:hint="eastAsia" w:ascii="仿宋" w:hAnsi="仿宋" w:eastAsia="仿宋" w:cs="仿宋"/>
          <w:b w:val="0"/>
          <w:bCs/>
          <w:color w:val="auto"/>
          <w:sz w:val="21"/>
          <w:szCs w:val="21"/>
          <w:highlight w:val="none"/>
          <w:lang w:val="en-US" w:eastAsia="zh-CN"/>
        </w:rPr>
        <w:t>月</w:t>
      </w:r>
      <w:r>
        <w:rPr>
          <w:rFonts w:hint="eastAsia" w:ascii="仿宋" w:hAnsi="仿宋" w:eastAsia="仿宋" w:cs="仿宋"/>
          <w:b w:val="0"/>
          <w:bCs/>
          <w:color w:val="auto"/>
          <w:sz w:val="21"/>
          <w:szCs w:val="21"/>
          <w:highlight w:val="none"/>
          <w:u w:val="single"/>
          <w:lang w:val="en-US" w:eastAsia="zh-CN"/>
        </w:rPr>
        <w:t xml:space="preserve">    </w:t>
      </w:r>
      <w:r>
        <w:rPr>
          <w:rFonts w:hint="eastAsia" w:ascii="仿宋" w:hAnsi="仿宋" w:eastAsia="仿宋" w:cs="仿宋"/>
          <w:b w:val="0"/>
          <w:bCs/>
          <w:color w:val="auto"/>
          <w:sz w:val="21"/>
          <w:szCs w:val="21"/>
          <w:highlight w:val="none"/>
          <w:lang w:val="en-US" w:eastAsia="zh-CN"/>
        </w:rPr>
        <w:t>日就西安浐灞国际港辖区公办学校2026-2027学年大宗食材(奶)采购项目(第二批)（项目编号：</w:t>
      </w:r>
      <w:r>
        <w:rPr>
          <w:rFonts w:hint="eastAsia" w:ascii="仿宋" w:hAnsi="仿宋" w:eastAsia="仿宋" w:cs="仿宋"/>
          <w:b w:val="0"/>
          <w:bCs/>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none"/>
          <w:lang w:eastAsia="zh-CN"/>
        </w:rPr>
        <w:t>包号：</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b w:val="0"/>
          <w:bCs/>
          <w:color w:val="auto"/>
          <w:sz w:val="21"/>
          <w:szCs w:val="21"/>
          <w:highlight w:val="none"/>
          <w:u w:val="single"/>
          <w:lang w:val="en-US" w:eastAsia="zh-CN"/>
        </w:rPr>
        <w:t xml:space="preserve">   </w:t>
      </w:r>
      <w:r>
        <w:rPr>
          <w:rFonts w:hint="eastAsia" w:ascii="仿宋" w:hAnsi="仿宋" w:eastAsia="仿宋" w:cs="仿宋"/>
          <w:b w:val="0"/>
          <w:bCs/>
          <w:color w:val="auto"/>
          <w:sz w:val="21"/>
          <w:szCs w:val="21"/>
          <w:highlight w:val="none"/>
          <w:lang w:val="en-US" w:eastAsia="zh-CN"/>
        </w:rPr>
        <w:t>）采购结果及相关招标文件及投标文件，本合同经双方友好协商平等、诚信、协作的原则，按照《中华人民共和国政府采购法》和《中华人民共和国民法典》经协商一致，订立本合同，供双方共同遵守：</w:t>
      </w:r>
    </w:p>
    <w:p w14:paraId="0DC18638">
      <w:pPr>
        <w:pStyle w:val="4"/>
        <w:keepNext w:val="0"/>
        <w:keepLines w:val="0"/>
        <w:pageBreakBefore w:val="0"/>
        <w:shd w:val="clear"/>
        <w:kinsoku/>
        <w:wordWrap/>
        <w:overflowPunct/>
        <w:topLinePunct w:val="0"/>
        <w:bidi w:val="0"/>
        <w:adjustRightInd w:val="0"/>
        <w:snapToGrid w:val="0"/>
        <w:spacing w:line="312" w:lineRule="auto"/>
        <w:ind w:left="0" w:leftChars="0" w:firstLine="422" w:firstLineChars="200"/>
        <w:jc w:val="both"/>
        <w:textAlignment w:val="auto"/>
        <w:rPr>
          <w:rFonts w:hint="eastAsia" w:ascii="仿宋" w:hAnsi="仿宋" w:eastAsia="仿宋" w:cs="仿宋"/>
          <w:b/>
          <w:bCs/>
          <w:color w:val="auto"/>
          <w:kern w:val="0"/>
          <w:sz w:val="21"/>
          <w:szCs w:val="21"/>
          <w:highlight w:val="none"/>
          <w:lang w:bidi="ar"/>
        </w:rPr>
      </w:pPr>
      <w:r>
        <w:rPr>
          <w:rFonts w:hint="eastAsia" w:ascii="仿宋" w:hAnsi="仿宋" w:eastAsia="仿宋" w:cs="仿宋"/>
          <w:b/>
          <w:bCs/>
          <w:color w:val="auto"/>
          <w:sz w:val="21"/>
          <w:szCs w:val="21"/>
          <w:highlight w:val="none"/>
        </w:rPr>
        <w:t>第</w:t>
      </w:r>
      <w:r>
        <w:rPr>
          <w:rFonts w:hint="eastAsia" w:ascii="仿宋" w:hAnsi="仿宋" w:eastAsia="仿宋" w:cs="仿宋"/>
          <w:b/>
          <w:bCs/>
          <w:color w:val="auto"/>
          <w:sz w:val="21"/>
          <w:szCs w:val="21"/>
          <w:highlight w:val="none"/>
          <w:lang w:val="en-US" w:eastAsia="zh-CN"/>
        </w:rPr>
        <w:t>一</w:t>
      </w:r>
      <w:r>
        <w:rPr>
          <w:rFonts w:hint="eastAsia" w:ascii="仿宋" w:hAnsi="仿宋" w:eastAsia="仿宋" w:cs="仿宋"/>
          <w:b/>
          <w:bCs/>
          <w:color w:val="auto"/>
          <w:sz w:val="21"/>
          <w:szCs w:val="21"/>
          <w:highlight w:val="none"/>
        </w:rPr>
        <w:t>条</w:t>
      </w:r>
      <w:r>
        <w:rPr>
          <w:rFonts w:hint="eastAsia" w:ascii="仿宋" w:hAnsi="仿宋" w:eastAsia="仿宋" w:cs="仿宋"/>
          <w:b/>
          <w:bCs/>
          <w:color w:val="auto"/>
          <w:sz w:val="21"/>
          <w:szCs w:val="21"/>
          <w:highlight w:val="none"/>
          <w:lang w:val="en-US" w:eastAsia="zh-CN"/>
        </w:rPr>
        <w:t xml:space="preserve">  </w:t>
      </w:r>
      <w:r>
        <w:rPr>
          <w:rFonts w:hint="eastAsia" w:ascii="仿宋" w:hAnsi="仿宋" w:eastAsia="仿宋" w:cs="仿宋"/>
          <w:b/>
          <w:bCs/>
          <w:color w:val="auto"/>
          <w:kern w:val="0"/>
          <w:sz w:val="21"/>
          <w:szCs w:val="21"/>
          <w:highlight w:val="none"/>
          <w:lang w:bidi="ar"/>
        </w:rPr>
        <w:t>合同内容</w:t>
      </w:r>
    </w:p>
    <w:p w14:paraId="221AED5E">
      <w:pPr>
        <w:pStyle w:val="4"/>
        <w:keepNext w:val="0"/>
        <w:keepLines w:val="0"/>
        <w:pageBreakBefore w:val="0"/>
        <w:shd w:val="clear"/>
        <w:kinsoku/>
        <w:wordWrap/>
        <w:overflowPunct/>
        <w:topLinePunct w:val="0"/>
        <w:bidi w:val="0"/>
        <w:adjustRightInd w:val="0"/>
        <w:snapToGrid w:val="0"/>
        <w:spacing w:line="312" w:lineRule="auto"/>
        <w:ind w:left="0" w:leftChars="0" w:firstLine="420" w:firstLineChars="200"/>
        <w:jc w:val="both"/>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（一）标</w:t>
      </w:r>
      <w:r>
        <w:rPr>
          <w:rFonts w:hint="eastAsia" w:ascii="仿宋" w:hAnsi="仿宋" w:eastAsia="仿宋" w:cs="仿宋"/>
          <w:bCs/>
          <w:color w:val="auto"/>
          <w:sz w:val="21"/>
          <w:szCs w:val="21"/>
          <w:highlight w:val="none"/>
          <w:lang w:val="en-US" w:eastAsia="zh-CN"/>
        </w:rPr>
        <w:t>的</w:t>
      </w:r>
      <w:r>
        <w:rPr>
          <w:rFonts w:hint="eastAsia" w:ascii="仿宋" w:hAnsi="仿宋" w:eastAsia="仿宋" w:cs="仿宋"/>
          <w:bCs/>
          <w:color w:val="auto"/>
          <w:sz w:val="21"/>
          <w:szCs w:val="21"/>
          <w:highlight w:val="none"/>
        </w:rPr>
        <w:t>清单</w:t>
      </w:r>
    </w:p>
    <w:tbl>
      <w:tblPr>
        <w:tblStyle w:val="6"/>
        <w:tblpPr w:leftFromText="180" w:rightFromText="180" w:vertAnchor="text" w:horzAnchor="page" w:tblpXSpec="center" w:tblpY="143"/>
        <w:tblOverlap w:val="never"/>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8"/>
        <w:gridCol w:w="1875"/>
        <w:gridCol w:w="1815"/>
        <w:gridCol w:w="2638"/>
        <w:gridCol w:w="1620"/>
        <w:gridCol w:w="952"/>
      </w:tblGrid>
      <w:tr w14:paraId="36990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531" w:type="pct"/>
            <w:vAlign w:val="bottom"/>
          </w:tcPr>
          <w:p w14:paraId="2813F703">
            <w:pPr>
              <w:keepNext w:val="0"/>
              <w:keepLines w:val="0"/>
              <w:pageBreakBefore w:val="0"/>
              <w:widowControl w:val="0"/>
              <w:shd w:val="clear"/>
              <w:wordWrap/>
              <w:overflowPunct/>
              <w:topLinePunct w:val="0"/>
              <w:bidi w:val="0"/>
              <w:adjustRightInd w:val="0"/>
              <w:snapToGrid w:val="0"/>
              <w:spacing w:line="312" w:lineRule="auto"/>
              <w:ind w:left="0" w:leftChars="0"/>
              <w:jc w:val="center"/>
              <w:rPr>
                <w:rFonts w:hint="eastAsia" w:ascii="仿宋" w:hAnsi="仿宋" w:eastAsia="仿宋" w:cs="仿宋"/>
                <w:color w:val="auto"/>
                <w:sz w:val="21"/>
                <w:szCs w:val="21"/>
                <w:highlight w:val="none"/>
                <w:shd w:val="clear" w:color="auto" w:fill="FFFFFF"/>
                <w:vertAlign w:val="baseline"/>
                <w:lang w:val="en-US" w:eastAsia="zh-CN"/>
              </w:rPr>
            </w:pPr>
            <w:r>
              <w:rPr>
                <w:rFonts w:hint="eastAsia" w:ascii="仿宋" w:hAnsi="仿宋" w:eastAsia="仿宋" w:cs="仿宋"/>
                <w:color w:val="auto"/>
                <w:sz w:val="21"/>
                <w:szCs w:val="21"/>
                <w:highlight w:val="none"/>
                <w:shd w:val="clear" w:color="auto" w:fill="FFFFFF"/>
                <w:vertAlign w:val="baseline"/>
                <w:lang w:val="en-US" w:eastAsia="zh-CN"/>
              </w:rPr>
              <w:t>序号</w:t>
            </w:r>
          </w:p>
        </w:tc>
        <w:tc>
          <w:tcPr>
            <w:tcW w:w="941" w:type="pct"/>
            <w:vAlign w:val="bottom"/>
          </w:tcPr>
          <w:p w14:paraId="1F90A2DB">
            <w:pPr>
              <w:keepNext w:val="0"/>
              <w:keepLines w:val="0"/>
              <w:pageBreakBefore w:val="0"/>
              <w:widowControl w:val="0"/>
              <w:shd w:val="clear"/>
              <w:wordWrap/>
              <w:overflowPunct/>
              <w:topLinePunct w:val="0"/>
              <w:bidi w:val="0"/>
              <w:adjustRightInd w:val="0"/>
              <w:snapToGrid w:val="0"/>
              <w:spacing w:line="312" w:lineRule="auto"/>
              <w:ind w:left="0" w:leftChars="0"/>
              <w:jc w:val="center"/>
              <w:rPr>
                <w:rFonts w:hint="eastAsia" w:ascii="仿宋" w:hAnsi="仿宋" w:eastAsia="仿宋" w:cs="仿宋"/>
                <w:color w:val="auto"/>
                <w:sz w:val="21"/>
                <w:szCs w:val="21"/>
                <w:highlight w:val="none"/>
                <w:shd w:val="clear" w:color="auto" w:fill="FFFFFF"/>
                <w:vertAlign w:val="baseline"/>
                <w:lang w:val="en-US" w:eastAsia="zh-CN"/>
              </w:rPr>
            </w:pPr>
            <w:r>
              <w:rPr>
                <w:rFonts w:hint="eastAsia" w:ascii="仿宋" w:hAnsi="仿宋" w:eastAsia="仿宋" w:cs="仿宋"/>
                <w:color w:val="auto"/>
                <w:sz w:val="21"/>
                <w:szCs w:val="21"/>
                <w:highlight w:val="none"/>
                <w:shd w:val="clear" w:color="auto" w:fill="FFFFFF"/>
                <w:vertAlign w:val="baseline"/>
                <w:lang w:val="en-US" w:eastAsia="zh-CN"/>
              </w:rPr>
              <w:t>产品名称</w:t>
            </w:r>
          </w:p>
        </w:tc>
        <w:tc>
          <w:tcPr>
            <w:tcW w:w="911" w:type="pct"/>
            <w:vAlign w:val="bottom"/>
          </w:tcPr>
          <w:p w14:paraId="129665D7">
            <w:pPr>
              <w:keepNext w:val="0"/>
              <w:keepLines w:val="0"/>
              <w:pageBreakBefore w:val="0"/>
              <w:widowControl w:val="0"/>
              <w:shd w:val="clear"/>
              <w:wordWrap/>
              <w:overflowPunct/>
              <w:topLinePunct w:val="0"/>
              <w:bidi w:val="0"/>
              <w:adjustRightInd w:val="0"/>
              <w:snapToGrid w:val="0"/>
              <w:spacing w:line="312" w:lineRule="auto"/>
              <w:ind w:left="0" w:leftChars="0"/>
              <w:jc w:val="center"/>
              <w:rPr>
                <w:rFonts w:hint="eastAsia" w:ascii="仿宋" w:hAnsi="仿宋" w:eastAsia="仿宋" w:cs="仿宋"/>
                <w:color w:val="auto"/>
                <w:sz w:val="21"/>
                <w:szCs w:val="21"/>
                <w:highlight w:val="none"/>
                <w:shd w:val="clear" w:color="auto" w:fill="FFFFFF"/>
                <w:vertAlign w:val="baseline"/>
                <w:lang w:val="en-US" w:eastAsia="zh-CN"/>
              </w:rPr>
            </w:pPr>
            <w:r>
              <w:rPr>
                <w:rFonts w:hint="eastAsia" w:ascii="仿宋" w:hAnsi="仿宋" w:eastAsia="仿宋" w:cs="仿宋"/>
                <w:color w:val="auto"/>
                <w:kern w:val="0"/>
                <w:sz w:val="21"/>
                <w:szCs w:val="21"/>
                <w:highlight w:val="none"/>
                <w:lang w:val="en-US" w:eastAsia="zh-CN"/>
              </w:rPr>
              <w:t>规格</w:t>
            </w:r>
          </w:p>
        </w:tc>
        <w:tc>
          <w:tcPr>
            <w:tcW w:w="1324" w:type="pct"/>
            <w:vAlign w:val="bottom"/>
          </w:tcPr>
          <w:p w14:paraId="7A276DE0">
            <w:pPr>
              <w:keepNext w:val="0"/>
              <w:keepLines w:val="0"/>
              <w:pageBreakBefore w:val="0"/>
              <w:widowControl w:val="0"/>
              <w:shd w:val="clear"/>
              <w:wordWrap/>
              <w:overflowPunct/>
              <w:topLinePunct w:val="0"/>
              <w:bidi w:val="0"/>
              <w:adjustRightInd w:val="0"/>
              <w:snapToGrid w:val="0"/>
              <w:spacing w:line="312" w:lineRule="auto"/>
              <w:ind w:left="0" w:leftChars="0"/>
              <w:jc w:val="center"/>
              <w:rPr>
                <w:rFonts w:hint="eastAsia" w:ascii="仿宋" w:hAnsi="仿宋" w:eastAsia="仿宋" w:cs="仿宋"/>
                <w:color w:val="auto"/>
                <w:sz w:val="21"/>
                <w:szCs w:val="21"/>
                <w:highlight w:val="none"/>
                <w:shd w:val="clear" w:color="auto" w:fill="FFFFFF"/>
                <w:vertAlign w:val="baseline"/>
                <w:lang w:val="en-US" w:eastAsia="zh-CN"/>
              </w:rPr>
            </w:pPr>
            <w:r>
              <w:rPr>
                <w:rFonts w:hint="eastAsia" w:ascii="仿宋" w:hAnsi="仿宋" w:eastAsia="仿宋" w:cs="仿宋"/>
                <w:color w:val="auto"/>
                <w:sz w:val="21"/>
                <w:szCs w:val="21"/>
                <w:highlight w:val="none"/>
                <w:shd w:val="clear" w:color="auto" w:fill="FFFFFF"/>
                <w:vertAlign w:val="baseline"/>
                <w:lang w:val="en-US" w:eastAsia="zh-CN"/>
              </w:rPr>
              <w:t>合同单价</w:t>
            </w:r>
          </w:p>
        </w:tc>
        <w:tc>
          <w:tcPr>
            <w:tcW w:w="813" w:type="pct"/>
            <w:vAlign w:val="bottom"/>
          </w:tcPr>
          <w:p w14:paraId="37167415">
            <w:pPr>
              <w:keepNext w:val="0"/>
              <w:keepLines w:val="0"/>
              <w:pageBreakBefore w:val="0"/>
              <w:widowControl w:val="0"/>
              <w:shd w:val="clear"/>
              <w:wordWrap/>
              <w:overflowPunct/>
              <w:topLinePunct w:val="0"/>
              <w:bidi w:val="0"/>
              <w:adjustRightInd w:val="0"/>
              <w:snapToGrid w:val="0"/>
              <w:spacing w:line="312" w:lineRule="auto"/>
              <w:ind w:left="0" w:leftChars="0"/>
              <w:jc w:val="center"/>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品牌</w:t>
            </w:r>
          </w:p>
        </w:tc>
        <w:tc>
          <w:tcPr>
            <w:tcW w:w="478" w:type="pct"/>
            <w:vAlign w:val="bottom"/>
          </w:tcPr>
          <w:p w14:paraId="3FB32CA1">
            <w:pPr>
              <w:keepNext w:val="0"/>
              <w:keepLines w:val="0"/>
              <w:pageBreakBefore w:val="0"/>
              <w:widowControl w:val="0"/>
              <w:shd w:val="clear"/>
              <w:wordWrap/>
              <w:overflowPunct/>
              <w:topLinePunct w:val="0"/>
              <w:bidi w:val="0"/>
              <w:adjustRightInd w:val="0"/>
              <w:snapToGrid w:val="0"/>
              <w:spacing w:line="312" w:lineRule="auto"/>
              <w:ind w:left="0" w:leftChars="0"/>
              <w:jc w:val="center"/>
              <w:rPr>
                <w:rFonts w:hint="eastAsia" w:ascii="仿宋" w:hAnsi="仿宋" w:eastAsia="仿宋" w:cs="仿宋"/>
                <w:color w:val="auto"/>
                <w:sz w:val="21"/>
                <w:szCs w:val="21"/>
                <w:highlight w:val="none"/>
                <w:shd w:val="clear" w:color="auto" w:fill="FFFFFF"/>
                <w:vertAlign w:val="baseline"/>
                <w:lang w:val="en-US" w:eastAsia="zh-CN"/>
              </w:rPr>
            </w:pPr>
            <w:r>
              <w:rPr>
                <w:rFonts w:hint="eastAsia" w:ascii="仿宋" w:hAnsi="仿宋" w:eastAsia="仿宋" w:cs="仿宋"/>
                <w:color w:val="auto"/>
                <w:sz w:val="21"/>
                <w:szCs w:val="21"/>
                <w:highlight w:val="none"/>
                <w:shd w:val="clear" w:color="auto" w:fill="FFFFFF"/>
                <w:vertAlign w:val="baseline"/>
                <w:lang w:val="en-US" w:eastAsia="zh-CN"/>
              </w:rPr>
              <w:t>备注</w:t>
            </w:r>
          </w:p>
        </w:tc>
      </w:tr>
      <w:tr w14:paraId="7D5FC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531" w:type="pct"/>
            <w:vAlign w:val="bottom"/>
          </w:tcPr>
          <w:p w14:paraId="469E7BA6">
            <w:pPr>
              <w:keepNext w:val="0"/>
              <w:keepLines w:val="0"/>
              <w:pageBreakBefore w:val="0"/>
              <w:widowControl w:val="0"/>
              <w:shd w:val="clear"/>
              <w:wordWrap/>
              <w:overflowPunct/>
              <w:topLinePunct w:val="0"/>
              <w:bidi w:val="0"/>
              <w:adjustRightInd w:val="0"/>
              <w:snapToGrid w:val="0"/>
              <w:spacing w:line="312" w:lineRule="auto"/>
              <w:ind w:left="0" w:leftChars="0"/>
              <w:jc w:val="center"/>
              <w:rPr>
                <w:rFonts w:hint="eastAsia" w:ascii="仿宋" w:hAnsi="仿宋" w:eastAsia="仿宋" w:cs="仿宋"/>
                <w:color w:val="auto"/>
                <w:sz w:val="21"/>
                <w:szCs w:val="21"/>
                <w:highlight w:val="none"/>
                <w:u w:val="single"/>
                <w:shd w:val="clear" w:color="auto" w:fill="FFFFFF"/>
                <w:vertAlign w:val="baseline"/>
                <w:lang w:val="en-US" w:eastAsia="zh-CN"/>
              </w:rPr>
            </w:pPr>
            <w:r>
              <w:rPr>
                <w:rFonts w:hint="eastAsia" w:ascii="仿宋" w:hAnsi="仿宋" w:eastAsia="仿宋" w:cs="仿宋"/>
                <w:color w:val="auto"/>
                <w:sz w:val="21"/>
                <w:szCs w:val="21"/>
                <w:highlight w:val="none"/>
                <w:u w:val="single"/>
                <w:shd w:val="clear" w:color="auto" w:fill="FFFFFF"/>
                <w:vertAlign w:val="baseline"/>
                <w:lang w:val="en-US" w:eastAsia="zh-CN"/>
              </w:rPr>
              <w:t>1</w:t>
            </w:r>
          </w:p>
        </w:tc>
        <w:tc>
          <w:tcPr>
            <w:tcW w:w="941" w:type="pct"/>
            <w:vAlign w:val="bottom"/>
          </w:tcPr>
          <w:p w14:paraId="7F2E7AC7">
            <w:pPr>
              <w:keepNext w:val="0"/>
              <w:keepLines w:val="0"/>
              <w:pageBreakBefore w:val="0"/>
              <w:widowControl w:val="0"/>
              <w:shd w:val="clear"/>
              <w:wordWrap/>
              <w:overflowPunct/>
              <w:topLinePunct w:val="0"/>
              <w:bidi w:val="0"/>
              <w:adjustRightInd w:val="0"/>
              <w:snapToGrid w:val="0"/>
              <w:spacing w:line="312" w:lineRule="auto"/>
              <w:ind w:left="0" w:leftChars="0"/>
              <w:jc w:val="center"/>
              <w:rPr>
                <w:rFonts w:hint="eastAsia" w:ascii="仿宋" w:hAnsi="仿宋" w:eastAsia="仿宋" w:cs="仿宋"/>
                <w:color w:val="auto"/>
                <w:sz w:val="21"/>
                <w:szCs w:val="21"/>
                <w:highlight w:val="none"/>
                <w:u w:val="single"/>
                <w:shd w:val="clear" w:color="auto" w:fill="FFFFFF"/>
                <w:vertAlign w:val="baseline"/>
                <w:lang w:val="en-US" w:eastAsia="zh-CN"/>
              </w:rPr>
            </w:pPr>
            <w:r>
              <w:rPr>
                <w:rFonts w:hint="eastAsia" w:ascii="仿宋" w:hAnsi="仿宋" w:eastAsia="仿宋" w:cs="仿宋"/>
                <w:color w:val="auto"/>
                <w:sz w:val="21"/>
                <w:szCs w:val="21"/>
                <w:highlight w:val="none"/>
                <w:shd w:val="clear" w:color="auto" w:fill="FFFFFF"/>
                <w:vertAlign w:val="baseline"/>
                <w:lang w:val="en-US" w:eastAsia="zh-CN"/>
              </w:rPr>
              <w:t>牛奶</w:t>
            </w:r>
          </w:p>
        </w:tc>
        <w:tc>
          <w:tcPr>
            <w:tcW w:w="911" w:type="pct"/>
            <w:vAlign w:val="bottom"/>
          </w:tcPr>
          <w:p w14:paraId="15DC4569">
            <w:pPr>
              <w:keepNext w:val="0"/>
              <w:keepLines w:val="0"/>
              <w:pageBreakBefore w:val="0"/>
              <w:widowControl w:val="0"/>
              <w:shd w:val="clear"/>
              <w:wordWrap/>
              <w:overflowPunct/>
              <w:topLinePunct w:val="0"/>
              <w:bidi w:val="0"/>
              <w:adjustRightInd w:val="0"/>
              <w:snapToGrid w:val="0"/>
              <w:spacing w:line="312" w:lineRule="auto"/>
              <w:ind w:left="0" w:leftChars="0"/>
              <w:jc w:val="center"/>
              <w:rPr>
                <w:rFonts w:hint="eastAsia" w:ascii="仿宋" w:hAnsi="仿宋" w:eastAsia="仿宋" w:cs="仿宋"/>
                <w:color w:val="auto"/>
                <w:sz w:val="21"/>
                <w:szCs w:val="21"/>
                <w:highlight w:val="none"/>
                <w:lang w:eastAsia="zh-CN"/>
              </w:rPr>
            </w:pPr>
          </w:p>
        </w:tc>
        <w:tc>
          <w:tcPr>
            <w:tcW w:w="1324" w:type="pct"/>
            <w:vAlign w:val="bottom"/>
          </w:tcPr>
          <w:p w14:paraId="74DE6987">
            <w:pPr>
              <w:keepNext w:val="0"/>
              <w:keepLines w:val="0"/>
              <w:pageBreakBefore w:val="0"/>
              <w:widowControl w:val="0"/>
              <w:shd w:val="clear"/>
              <w:wordWrap/>
              <w:overflowPunct/>
              <w:topLinePunct w:val="0"/>
              <w:bidi w:val="0"/>
              <w:adjustRightInd w:val="0"/>
              <w:snapToGrid w:val="0"/>
              <w:spacing w:line="312" w:lineRule="auto"/>
              <w:ind w:left="0" w:leftChars="0"/>
              <w:jc w:val="center"/>
              <w:rPr>
                <w:rFonts w:hint="eastAsia" w:ascii="仿宋" w:hAnsi="仿宋" w:eastAsia="仿宋" w:cs="仿宋"/>
                <w:color w:val="auto"/>
                <w:spacing w:val="-10"/>
                <w:kern w:val="2"/>
                <w:sz w:val="21"/>
                <w:szCs w:val="21"/>
                <w:highlight w:val="none"/>
                <w:u w:val="single"/>
              </w:rPr>
            </w:pPr>
            <w:r>
              <w:rPr>
                <w:rFonts w:hint="eastAsia" w:ascii="仿宋" w:hAnsi="仿宋" w:eastAsia="仿宋" w:cs="仿宋"/>
                <w:color w:val="auto"/>
                <w:spacing w:val="-10"/>
                <w:kern w:val="2"/>
                <w:sz w:val="21"/>
                <w:szCs w:val="21"/>
                <w:highlight w:val="none"/>
                <w:u w:val="single"/>
              </w:rPr>
              <w:t xml:space="preserve">   </w:t>
            </w:r>
            <w:r>
              <w:rPr>
                <w:rFonts w:hint="eastAsia" w:ascii="仿宋" w:hAnsi="仿宋" w:eastAsia="仿宋" w:cs="仿宋"/>
                <w:color w:val="auto"/>
                <w:spacing w:val="-10"/>
                <w:kern w:val="2"/>
                <w:sz w:val="21"/>
                <w:szCs w:val="21"/>
                <w:highlight w:val="none"/>
                <w:u w:val="single"/>
                <w:lang w:val="en-US" w:eastAsia="zh-CN"/>
              </w:rPr>
              <w:t xml:space="preserve"> </w:t>
            </w:r>
            <w:r>
              <w:rPr>
                <w:rFonts w:hint="eastAsia" w:ascii="仿宋" w:hAnsi="仿宋" w:eastAsia="仿宋" w:cs="仿宋"/>
                <w:color w:val="auto"/>
                <w:spacing w:val="-10"/>
                <w:kern w:val="2"/>
                <w:sz w:val="21"/>
                <w:szCs w:val="21"/>
                <w:highlight w:val="none"/>
                <w:u w:val="single"/>
              </w:rPr>
              <w:t xml:space="preserve">   </w:t>
            </w:r>
            <w:r>
              <w:rPr>
                <w:rFonts w:hint="eastAsia" w:ascii="仿宋" w:hAnsi="仿宋" w:eastAsia="仿宋" w:cs="仿宋"/>
                <w:color w:val="auto"/>
                <w:sz w:val="21"/>
                <w:szCs w:val="21"/>
                <w:highlight w:val="none"/>
                <w:shd w:val="clear" w:color="auto" w:fill="FFFFFF"/>
                <w:lang w:eastAsia="zh-CN"/>
              </w:rPr>
              <w:t>元/升</w:t>
            </w:r>
          </w:p>
        </w:tc>
        <w:tc>
          <w:tcPr>
            <w:tcW w:w="813" w:type="pct"/>
            <w:vAlign w:val="bottom"/>
          </w:tcPr>
          <w:p w14:paraId="718BD63A">
            <w:pPr>
              <w:keepNext w:val="0"/>
              <w:keepLines w:val="0"/>
              <w:pageBreakBefore w:val="0"/>
              <w:widowControl w:val="0"/>
              <w:shd w:val="clear"/>
              <w:wordWrap/>
              <w:overflowPunct/>
              <w:topLinePunct w:val="0"/>
              <w:bidi w:val="0"/>
              <w:adjustRightInd w:val="0"/>
              <w:snapToGrid w:val="0"/>
              <w:spacing w:line="312" w:lineRule="auto"/>
              <w:ind w:left="0" w:leftChars="0"/>
              <w:jc w:val="center"/>
              <w:rPr>
                <w:rFonts w:hint="eastAsia" w:ascii="仿宋" w:hAnsi="仿宋" w:eastAsia="仿宋" w:cs="仿宋"/>
                <w:color w:val="auto"/>
                <w:spacing w:val="-10"/>
                <w:kern w:val="2"/>
                <w:sz w:val="21"/>
                <w:szCs w:val="21"/>
                <w:highlight w:val="none"/>
                <w:u w:val="single"/>
              </w:rPr>
            </w:pPr>
          </w:p>
        </w:tc>
        <w:tc>
          <w:tcPr>
            <w:tcW w:w="478" w:type="pct"/>
            <w:vAlign w:val="bottom"/>
          </w:tcPr>
          <w:p w14:paraId="561C026C">
            <w:pPr>
              <w:keepNext w:val="0"/>
              <w:keepLines w:val="0"/>
              <w:pageBreakBefore w:val="0"/>
              <w:widowControl w:val="0"/>
              <w:shd w:val="clear"/>
              <w:wordWrap/>
              <w:overflowPunct/>
              <w:topLinePunct w:val="0"/>
              <w:bidi w:val="0"/>
              <w:adjustRightInd w:val="0"/>
              <w:snapToGrid w:val="0"/>
              <w:spacing w:line="312" w:lineRule="auto"/>
              <w:ind w:left="0" w:leftChars="0"/>
              <w:jc w:val="center"/>
              <w:rPr>
                <w:rFonts w:hint="eastAsia" w:ascii="仿宋" w:hAnsi="仿宋" w:eastAsia="仿宋" w:cs="仿宋"/>
                <w:color w:val="auto"/>
                <w:sz w:val="21"/>
                <w:szCs w:val="21"/>
                <w:highlight w:val="none"/>
                <w:shd w:val="clear" w:color="auto" w:fill="FFFFFF"/>
                <w:vertAlign w:val="baseline"/>
                <w:lang w:eastAsia="zh-CN"/>
              </w:rPr>
            </w:pPr>
          </w:p>
        </w:tc>
      </w:tr>
      <w:tr w14:paraId="5F46E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31" w:type="pct"/>
            <w:vAlign w:val="bottom"/>
          </w:tcPr>
          <w:p w14:paraId="65DC23D7">
            <w:pPr>
              <w:keepNext w:val="0"/>
              <w:keepLines w:val="0"/>
              <w:pageBreakBefore w:val="0"/>
              <w:widowControl w:val="0"/>
              <w:shd w:val="clear"/>
              <w:wordWrap/>
              <w:overflowPunct/>
              <w:topLinePunct w:val="0"/>
              <w:bidi w:val="0"/>
              <w:adjustRightInd w:val="0"/>
              <w:snapToGrid w:val="0"/>
              <w:spacing w:line="312" w:lineRule="auto"/>
              <w:ind w:left="0" w:leftChars="0"/>
              <w:jc w:val="center"/>
              <w:rPr>
                <w:rFonts w:hint="eastAsia" w:ascii="仿宋" w:hAnsi="仿宋" w:eastAsia="仿宋" w:cs="仿宋"/>
                <w:color w:val="auto"/>
                <w:sz w:val="21"/>
                <w:szCs w:val="21"/>
                <w:highlight w:val="none"/>
                <w:u w:val="single"/>
                <w:shd w:val="clear" w:color="auto" w:fill="FFFFFF"/>
                <w:vertAlign w:val="baseline"/>
                <w:lang w:val="en-US" w:eastAsia="zh-CN"/>
              </w:rPr>
            </w:pPr>
            <w:r>
              <w:rPr>
                <w:rFonts w:hint="eastAsia" w:ascii="仿宋" w:hAnsi="仿宋" w:eastAsia="仿宋" w:cs="仿宋"/>
                <w:color w:val="auto"/>
                <w:sz w:val="21"/>
                <w:szCs w:val="21"/>
                <w:highlight w:val="none"/>
                <w:u w:val="single"/>
                <w:shd w:val="clear" w:color="auto" w:fill="FFFFFF"/>
                <w:vertAlign w:val="baseline"/>
                <w:lang w:val="en-US" w:eastAsia="zh-CN"/>
              </w:rPr>
              <w:t>2</w:t>
            </w:r>
          </w:p>
        </w:tc>
        <w:tc>
          <w:tcPr>
            <w:tcW w:w="941" w:type="pct"/>
            <w:vAlign w:val="bottom"/>
          </w:tcPr>
          <w:p w14:paraId="49DEE035">
            <w:pPr>
              <w:keepNext w:val="0"/>
              <w:keepLines w:val="0"/>
              <w:pageBreakBefore w:val="0"/>
              <w:widowControl w:val="0"/>
              <w:shd w:val="clear"/>
              <w:wordWrap/>
              <w:overflowPunct/>
              <w:topLinePunct w:val="0"/>
              <w:bidi w:val="0"/>
              <w:adjustRightInd w:val="0"/>
              <w:snapToGrid w:val="0"/>
              <w:spacing w:line="312" w:lineRule="auto"/>
              <w:ind w:left="0" w:leftChars="0"/>
              <w:jc w:val="center"/>
              <w:rPr>
                <w:rFonts w:hint="eastAsia" w:ascii="仿宋" w:hAnsi="仿宋" w:eastAsia="仿宋" w:cs="仿宋"/>
                <w:color w:val="auto"/>
                <w:sz w:val="21"/>
                <w:szCs w:val="21"/>
                <w:highlight w:val="none"/>
                <w:u w:val="single"/>
                <w:shd w:val="clear" w:color="auto" w:fill="FFFFFF"/>
                <w:vertAlign w:val="baseline"/>
                <w:lang w:val="en-US" w:eastAsia="zh-CN"/>
              </w:rPr>
            </w:pPr>
            <w:r>
              <w:rPr>
                <w:rFonts w:hint="eastAsia" w:ascii="仿宋" w:hAnsi="仿宋" w:eastAsia="仿宋" w:cs="仿宋"/>
                <w:color w:val="auto"/>
                <w:sz w:val="21"/>
                <w:szCs w:val="21"/>
                <w:highlight w:val="none"/>
                <w:shd w:val="clear" w:color="auto" w:fill="FFFFFF"/>
                <w:vertAlign w:val="baseline"/>
                <w:lang w:val="en-US" w:eastAsia="zh-CN"/>
              </w:rPr>
              <w:t>酸奶</w:t>
            </w:r>
          </w:p>
        </w:tc>
        <w:tc>
          <w:tcPr>
            <w:tcW w:w="911" w:type="pct"/>
            <w:vAlign w:val="bottom"/>
          </w:tcPr>
          <w:p w14:paraId="0912EECE">
            <w:pPr>
              <w:keepNext w:val="0"/>
              <w:keepLines w:val="0"/>
              <w:pageBreakBefore w:val="0"/>
              <w:widowControl w:val="0"/>
              <w:shd w:val="clear"/>
              <w:wordWrap/>
              <w:overflowPunct/>
              <w:topLinePunct w:val="0"/>
              <w:bidi w:val="0"/>
              <w:adjustRightInd w:val="0"/>
              <w:snapToGrid w:val="0"/>
              <w:spacing w:line="312" w:lineRule="auto"/>
              <w:ind w:left="0" w:leftChars="0"/>
              <w:jc w:val="center"/>
              <w:rPr>
                <w:rFonts w:hint="eastAsia" w:ascii="仿宋" w:hAnsi="仿宋" w:eastAsia="仿宋" w:cs="仿宋"/>
                <w:color w:val="auto"/>
                <w:sz w:val="21"/>
                <w:szCs w:val="21"/>
                <w:highlight w:val="none"/>
                <w:lang w:eastAsia="zh-CN"/>
              </w:rPr>
            </w:pPr>
          </w:p>
        </w:tc>
        <w:tc>
          <w:tcPr>
            <w:tcW w:w="1324" w:type="pct"/>
            <w:vAlign w:val="bottom"/>
          </w:tcPr>
          <w:p w14:paraId="107A9722">
            <w:pPr>
              <w:keepNext w:val="0"/>
              <w:keepLines w:val="0"/>
              <w:pageBreakBefore w:val="0"/>
              <w:widowControl w:val="0"/>
              <w:shd w:val="clear"/>
              <w:wordWrap/>
              <w:overflowPunct/>
              <w:topLinePunct w:val="0"/>
              <w:bidi w:val="0"/>
              <w:adjustRightInd w:val="0"/>
              <w:snapToGrid w:val="0"/>
              <w:spacing w:line="312" w:lineRule="auto"/>
              <w:ind w:left="0" w:leftChars="0"/>
              <w:jc w:val="center"/>
              <w:rPr>
                <w:rFonts w:hint="eastAsia" w:ascii="仿宋" w:hAnsi="仿宋" w:eastAsia="仿宋" w:cs="仿宋"/>
                <w:color w:val="auto"/>
                <w:spacing w:val="-10"/>
                <w:kern w:val="2"/>
                <w:sz w:val="21"/>
                <w:szCs w:val="21"/>
                <w:highlight w:val="none"/>
                <w:u w:val="single"/>
              </w:rPr>
            </w:pPr>
            <w:r>
              <w:rPr>
                <w:rFonts w:hint="eastAsia" w:ascii="仿宋" w:hAnsi="仿宋" w:eastAsia="仿宋" w:cs="仿宋"/>
                <w:color w:val="auto"/>
                <w:spacing w:val="-10"/>
                <w:kern w:val="2"/>
                <w:sz w:val="21"/>
                <w:szCs w:val="21"/>
                <w:highlight w:val="none"/>
                <w:u w:val="single"/>
              </w:rPr>
              <w:t xml:space="preserve">   </w:t>
            </w:r>
            <w:r>
              <w:rPr>
                <w:rFonts w:hint="eastAsia" w:ascii="仿宋" w:hAnsi="仿宋" w:eastAsia="仿宋" w:cs="仿宋"/>
                <w:color w:val="auto"/>
                <w:spacing w:val="-10"/>
                <w:kern w:val="2"/>
                <w:sz w:val="21"/>
                <w:szCs w:val="21"/>
                <w:highlight w:val="none"/>
                <w:u w:val="single"/>
                <w:lang w:val="en-US" w:eastAsia="zh-CN"/>
              </w:rPr>
              <w:t xml:space="preserve"> </w:t>
            </w:r>
            <w:r>
              <w:rPr>
                <w:rFonts w:hint="eastAsia" w:ascii="仿宋" w:hAnsi="仿宋" w:eastAsia="仿宋" w:cs="仿宋"/>
                <w:color w:val="auto"/>
                <w:spacing w:val="-10"/>
                <w:kern w:val="2"/>
                <w:sz w:val="21"/>
                <w:szCs w:val="21"/>
                <w:highlight w:val="none"/>
                <w:u w:val="single"/>
              </w:rPr>
              <w:t xml:space="preserve">   </w:t>
            </w:r>
            <w:r>
              <w:rPr>
                <w:rFonts w:hint="eastAsia" w:ascii="仿宋" w:hAnsi="仿宋" w:eastAsia="仿宋" w:cs="仿宋"/>
                <w:color w:val="auto"/>
                <w:sz w:val="21"/>
                <w:szCs w:val="21"/>
                <w:highlight w:val="none"/>
                <w:shd w:val="clear" w:color="auto" w:fill="FFFFFF"/>
                <w:lang w:eastAsia="zh-CN"/>
              </w:rPr>
              <w:t>元/公斤</w:t>
            </w:r>
          </w:p>
        </w:tc>
        <w:tc>
          <w:tcPr>
            <w:tcW w:w="813" w:type="pct"/>
            <w:vAlign w:val="bottom"/>
          </w:tcPr>
          <w:p w14:paraId="0CB906D0">
            <w:pPr>
              <w:keepNext w:val="0"/>
              <w:keepLines w:val="0"/>
              <w:pageBreakBefore w:val="0"/>
              <w:widowControl w:val="0"/>
              <w:shd w:val="clear"/>
              <w:wordWrap/>
              <w:overflowPunct/>
              <w:topLinePunct w:val="0"/>
              <w:bidi w:val="0"/>
              <w:adjustRightInd w:val="0"/>
              <w:snapToGrid w:val="0"/>
              <w:spacing w:line="312" w:lineRule="auto"/>
              <w:ind w:left="0" w:leftChars="0"/>
              <w:jc w:val="center"/>
              <w:rPr>
                <w:rFonts w:hint="eastAsia" w:ascii="仿宋" w:hAnsi="仿宋" w:eastAsia="仿宋" w:cs="仿宋"/>
                <w:color w:val="auto"/>
                <w:spacing w:val="-10"/>
                <w:kern w:val="2"/>
                <w:sz w:val="21"/>
                <w:szCs w:val="21"/>
                <w:highlight w:val="none"/>
                <w:u w:val="single"/>
              </w:rPr>
            </w:pPr>
          </w:p>
        </w:tc>
        <w:tc>
          <w:tcPr>
            <w:tcW w:w="478" w:type="pct"/>
            <w:vAlign w:val="bottom"/>
          </w:tcPr>
          <w:p w14:paraId="3B47E35D">
            <w:pPr>
              <w:keepNext w:val="0"/>
              <w:keepLines w:val="0"/>
              <w:pageBreakBefore w:val="0"/>
              <w:widowControl w:val="0"/>
              <w:shd w:val="clear"/>
              <w:wordWrap/>
              <w:overflowPunct/>
              <w:topLinePunct w:val="0"/>
              <w:bidi w:val="0"/>
              <w:adjustRightInd w:val="0"/>
              <w:snapToGrid w:val="0"/>
              <w:spacing w:line="312" w:lineRule="auto"/>
              <w:ind w:left="0" w:leftChars="0"/>
              <w:jc w:val="center"/>
              <w:rPr>
                <w:rFonts w:hint="eastAsia" w:ascii="仿宋" w:hAnsi="仿宋" w:eastAsia="仿宋" w:cs="仿宋"/>
                <w:color w:val="auto"/>
                <w:sz w:val="21"/>
                <w:szCs w:val="21"/>
                <w:highlight w:val="none"/>
                <w:shd w:val="clear" w:color="auto" w:fill="FFFFFF"/>
                <w:vertAlign w:val="baseline"/>
                <w:lang w:eastAsia="zh-CN"/>
              </w:rPr>
            </w:pPr>
          </w:p>
        </w:tc>
      </w:tr>
    </w:tbl>
    <w:p w14:paraId="51E5396B">
      <w:pPr>
        <w:keepNext w:val="0"/>
        <w:keepLines w:val="0"/>
        <w:pageBreakBefore w:val="0"/>
        <w:shd w:val="clear"/>
        <w:wordWrap/>
        <w:overflowPunct/>
        <w:topLinePunct w:val="0"/>
        <w:bidi w:val="0"/>
        <w:adjustRightInd w:val="0"/>
        <w:snapToGrid w:val="0"/>
        <w:spacing w:line="312" w:lineRule="auto"/>
        <w:ind w:left="0" w:leftChars="0"/>
        <w:rPr>
          <w:rFonts w:hint="eastAsia" w:ascii="仿宋" w:hAnsi="仿宋" w:eastAsia="仿宋" w:cs="仿宋"/>
          <w:color w:val="auto"/>
          <w:sz w:val="21"/>
          <w:szCs w:val="21"/>
          <w:highlight w:val="none"/>
        </w:rPr>
      </w:pPr>
    </w:p>
    <w:p w14:paraId="226AC669">
      <w:pPr>
        <w:pStyle w:val="4"/>
        <w:keepNext w:val="0"/>
        <w:keepLines w:val="0"/>
        <w:pageBreakBefore w:val="0"/>
        <w:shd w:val="clear"/>
        <w:kinsoku/>
        <w:wordWrap/>
        <w:overflowPunct/>
        <w:topLinePunct w:val="0"/>
        <w:bidi w:val="0"/>
        <w:adjustRightInd w:val="0"/>
        <w:snapToGrid w:val="0"/>
        <w:spacing w:line="312" w:lineRule="auto"/>
        <w:ind w:left="0" w:leftChars="0" w:firstLine="420" w:firstLineChars="200"/>
        <w:jc w:val="both"/>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二</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标</w:t>
      </w:r>
      <w:r>
        <w:rPr>
          <w:rFonts w:hint="eastAsia" w:ascii="仿宋" w:hAnsi="仿宋" w:eastAsia="仿宋" w:cs="仿宋"/>
          <w:bCs/>
          <w:color w:val="auto"/>
          <w:sz w:val="21"/>
          <w:szCs w:val="21"/>
          <w:highlight w:val="none"/>
          <w:lang w:val="en-US" w:eastAsia="zh-CN"/>
        </w:rPr>
        <w:t>的</w:t>
      </w:r>
      <w:r>
        <w:rPr>
          <w:rFonts w:hint="eastAsia" w:ascii="仿宋" w:hAnsi="仿宋" w:eastAsia="仿宋" w:cs="仿宋"/>
          <w:bCs/>
          <w:color w:val="auto"/>
          <w:sz w:val="21"/>
          <w:szCs w:val="21"/>
          <w:highlight w:val="none"/>
        </w:rPr>
        <w:t>货物要求：</w:t>
      </w:r>
    </w:p>
    <w:p w14:paraId="539FC96E">
      <w:pPr>
        <w:pStyle w:val="4"/>
        <w:keepNext w:val="0"/>
        <w:keepLines w:val="0"/>
        <w:pageBreakBefore w:val="0"/>
        <w:shd w:val="clear"/>
        <w:kinsoku/>
        <w:wordWrap/>
        <w:overflowPunct/>
        <w:topLinePunct w:val="0"/>
        <w:bidi w:val="0"/>
        <w:adjustRightInd w:val="0"/>
        <w:snapToGrid w:val="0"/>
        <w:spacing w:line="312" w:lineRule="auto"/>
        <w:ind w:left="0" w:leftChars="0" w:firstLine="420" w:firstLineChars="200"/>
        <w:jc w:val="both"/>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rPr>
        <w:t>.牛奶：采用经超高温灭菌或巴式杀菌法等工序制得的纯牛奶，质量符合GB25190-2010灭菌乳标准。</w:t>
      </w:r>
    </w:p>
    <w:p w14:paraId="72BECA1C">
      <w:pPr>
        <w:pStyle w:val="4"/>
        <w:keepNext w:val="0"/>
        <w:keepLines w:val="0"/>
        <w:pageBreakBefore w:val="0"/>
        <w:shd w:val="clear"/>
        <w:kinsoku/>
        <w:wordWrap/>
        <w:overflowPunct/>
        <w:topLinePunct w:val="0"/>
        <w:bidi w:val="0"/>
        <w:adjustRightInd w:val="0"/>
        <w:snapToGrid w:val="0"/>
        <w:spacing w:line="312" w:lineRule="auto"/>
        <w:ind w:left="0" w:leftChars="0" w:firstLine="420" w:firstLineChars="200"/>
        <w:jc w:val="both"/>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2</w:t>
      </w:r>
      <w:r>
        <w:rPr>
          <w:rFonts w:hint="eastAsia" w:ascii="仿宋" w:hAnsi="仿宋" w:eastAsia="仿宋" w:cs="仿宋"/>
          <w:bCs/>
          <w:color w:val="auto"/>
          <w:sz w:val="21"/>
          <w:szCs w:val="21"/>
          <w:highlight w:val="none"/>
        </w:rPr>
        <w:t>.酸奶：质量符合GB19302-2010发酵乳标准。</w:t>
      </w:r>
    </w:p>
    <w:p w14:paraId="60F03C25">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422" w:firstLineChars="200"/>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第二条  合同价款</w:t>
      </w:r>
    </w:p>
    <w:p w14:paraId="5B263B24">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（一）</w:t>
      </w:r>
      <w:r>
        <w:rPr>
          <w:rFonts w:hint="eastAsia" w:ascii="仿宋" w:hAnsi="仿宋" w:eastAsia="仿宋" w:cs="仿宋"/>
          <w:bCs/>
          <w:color w:val="auto"/>
          <w:sz w:val="21"/>
          <w:szCs w:val="21"/>
          <w:highlight w:val="none"/>
          <w:lang w:val="en-US" w:eastAsia="zh-CN"/>
        </w:rPr>
        <w:t>合同暂定总价</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none"/>
          <w:lang w:val="en-US" w:eastAsia="zh-CN"/>
        </w:rPr>
        <w:t>元</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以实际配送量核算为准</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w:t>
      </w:r>
    </w:p>
    <w:p w14:paraId="076E8F94">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（二）合同价款</w:t>
      </w:r>
      <w:r>
        <w:rPr>
          <w:rFonts w:hint="eastAsia" w:ascii="仿宋" w:hAnsi="仿宋" w:eastAsia="仿宋" w:cs="仿宋"/>
          <w:bCs/>
          <w:color w:val="auto"/>
          <w:sz w:val="21"/>
          <w:szCs w:val="21"/>
          <w:highlight w:val="none"/>
          <w:lang w:val="en-US" w:eastAsia="zh-CN"/>
        </w:rPr>
        <w:t>包含</w:t>
      </w:r>
      <w:r>
        <w:rPr>
          <w:rFonts w:hint="eastAsia" w:ascii="仿宋" w:hAnsi="仿宋" w:eastAsia="仿宋" w:cs="仿宋"/>
          <w:bCs/>
          <w:color w:val="auto"/>
          <w:sz w:val="21"/>
          <w:szCs w:val="21"/>
          <w:highlight w:val="none"/>
        </w:rPr>
        <w:t>食材采购、仓储、运杂费、配送费、装卸费、检验费、包装费、人工费、培训费、管理费、招标代理服务费、利润、风险、税金等在项目实施过程中所发生的所有费用。</w:t>
      </w:r>
    </w:p>
    <w:p w14:paraId="11D11AB2">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（三）本合同价款还包含乙方应当提供的伴随服务和售后服务费用。</w:t>
      </w:r>
    </w:p>
    <w:p w14:paraId="2F760A37">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（四）本合同执行期间合同单价不变，甲方无须另向乙方支付本合同规定之外的其他任何费用。</w:t>
      </w:r>
    </w:p>
    <w:p w14:paraId="4959A5AF">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422" w:firstLineChars="200"/>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第三条  款项结算</w:t>
      </w:r>
    </w:p>
    <w:p w14:paraId="6231E1B0">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420" w:firstLineChars="200"/>
        <w:textAlignment w:val="auto"/>
        <w:rPr>
          <w:rFonts w:hint="eastAsia" w:ascii="仿宋" w:hAnsi="仿宋" w:eastAsia="仿宋" w:cs="仿宋"/>
          <w:bCs/>
          <w:color w:val="auto"/>
          <w:sz w:val="21"/>
          <w:szCs w:val="21"/>
          <w:highlight w:val="none"/>
          <w:lang w:val="zh-CN"/>
        </w:rPr>
      </w:pPr>
      <w:r>
        <w:rPr>
          <w:rFonts w:hint="eastAsia" w:ascii="仿宋" w:hAnsi="仿宋" w:eastAsia="仿宋" w:cs="仿宋"/>
          <w:bCs/>
          <w:color w:val="auto"/>
          <w:sz w:val="21"/>
          <w:szCs w:val="21"/>
          <w:highlight w:val="none"/>
          <w:lang w:val="zh-CN"/>
        </w:rPr>
        <w:t>（一）结算方式：乙方应按照双方签订的合同，</w:t>
      </w:r>
      <w:r>
        <w:rPr>
          <w:rFonts w:hint="eastAsia" w:ascii="仿宋" w:hAnsi="仿宋" w:eastAsia="仿宋" w:cs="仿宋"/>
          <w:bCs/>
          <w:color w:val="auto"/>
          <w:sz w:val="21"/>
          <w:szCs w:val="21"/>
          <w:highlight w:val="none"/>
          <w:lang w:val="zh-CN"/>
        </w:rPr>
        <w:t>按照学校需求</w:t>
      </w:r>
      <w:r>
        <w:rPr>
          <w:rFonts w:hint="eastAsia" w:ascii="仿宋" w:hAnsi="仿宋" w:eastAsia="仿宋" w:cs="仿宋"/>
          <w:bCs/>
          <w:color w:val="auto"/>
          <w:sz w:val="21"/>
          <w:szCs w:val="21"/>
          <w:highlight w:val="none"/>
          <w:lang w:val="zh-CN"/>
        </w:rPr>
        <w:t>定期配送，配送量</w:t>
      </w:r>
      <w:r>
        <w:rPr>
          <w:rFonts w:hint="eastAsia" w:ascii="仿宋" w:hAnsi="仿宋" w:eastAsia="仿宋" w:cs="仿宋"/>
          <w:bCs/>
          <w:color w:val="auto"/>
          <w:sz w:val="21"/>
          <w:szCs w:val="21"/>
          <w:highlight w:val="none"/>
          <w:lang w:val="zh-CN"/>
        </w:rPr>
        <w:t>由甲方学校</w:t>
      </w:r>
      <w:r>
        <w:rPr>
          <w:rFonts w:hint="eastAsia" w:ascii="仿宋" w:hAnsi="仿宋" w:eastAsia="仿宋" w:cs="仿宋"/>
          <w:bCs/>
          <w:color w:val="auto"/>
          <w:sz w:val="21"/>
          <w:szCs w:val="21"/>
          <w:highlight w:val="none"/>
          <w:lang w:val="zh-CN"/>
        </w:rPr>
        <w:t>通知确定。</w:t>
      </w:r>
      <w:r>
        <w:rPr>
          <w:rFonts w:hint="eastAsia" w:ascii="仿宋" w:hAnsi="仿宋" w:eastAsia="仿宋" w:cs="仿宋"/>
          <w:bCs/>
          <w:color w:val="auto"/>
          <w:sz w:val="21"/>
          <w:szCs w:val="21"/>
          <w:highlight w:val="none"/>
          <w:lang w:val="zh-CN"/>
        </w:rPr>
        <w:t>学校每月</w:t>
      </w:r>
      <w:r>
        <w:rPr>
          <w:rFonts w:hint="eastAsia" w:ascii="仿宋" w:hAnsi="仿宋" w:eastAsia="仿宋" w:cs="仿宋"/>
          <w:bCs/>
          <w:color w:val="auto"/>
          <w:sz w:val="21"/>
          <w:szCs w:val="21"/>
          <w:highlight w:val="none"/>
          <w:lang w:val="zh-CN"/>
        </w:rPr>
        <w:t>据实结算货款。</w:t>
      </w:r>
    </w:p>
    <w:p w14:paraId="5721554E">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 xml:space="preserve">（二）支付方式：银行转账。  </w:t>
      </w:r>
    </w:p>
    <w:p w14:paraId="5E283373">
      <w:pPr>
        <w:keepNext w:val="0"/>
        <w:keepLines w:val="0"/>
        <w:pageBreakBefore w:val="0"/>
        <w:shd w:val="clear"/>
        <w:kinsoku/>
        <w:wordWrap/>
        <w:overflowPunct/>
        <w:topLinePunct w:val="0"/>
        <w:bidi w:val="0"/>
        <w:adjustRightInd w:val="0"/>
        <w:snapToGrid w:val="0"/>
        <w:spacing w:line="312" w:lineRule="auto"/>
        <w:ind w:left="0" w:leftChars="0" w:firstLine="420" w:firstLineChars="200"/>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由</w:t>
      </w:r>
      <w:r>
        <w:rPr>
          <w:rFonts w:hint="eastAsia" w:ascii="仿宋" w:hAnsi="仿宋" w:eastAsia="仿宋" w:cs="仿宋"/>
          <w:color w:val="auto"/>
          <w:sz w:val="21"/>
          <w:szCs w:val="21"/>
          <w:highlight w:val="none"/>
        </w:rPr>
        <w:t>接受供货的具体学校</w:t>
      </w:r>
      <w:r>
        <w:rPr>
          <w:rFonts w:hint="eastAsia" w:ascii="仿宋" w:hAnsi="仿宋" w:eastAsia="仿宋" w:cs="仿宋"/>
          <w:color w:val="auto"/>
          <w:sz w:val="21"/>
          <w:szCs w:val="21"/>
          <w:highlight w:val="none"/>
          <w:lang w:val="zh-CN"/>
        </w:rPr>
        <w:t>负责结算，合同签订后，中标人在每次接受付款前，</w:t>
      </w:r>
      <w:r>
        <w:rPr>
          <w:rFonts w:hint="eastAsia" w:ascii="仿宋" w:hAnsi="仿宋" w:eastAsia="仿宋" w:cs="仿宋"/>
          <w:color w:val="auto"/>
          <w:sz w:val="21"/>
          <w:szCs w:val="21"/>
          <w:highlight w:val="none"/>
        </w:rPr>
        <w:t>应先</w:t>
      </w:r>
      <w:r>
        <w:rPr>
          <w:rFonts w:hint="eastAsia" w:ascii="仿宋" w:hAnsi="仿宋" w:eastAsia="仿宋" w:cs="仿宋"/>
          <w:color w:val="auto"/>
          <w:sz w:val="21"/>
          <w:szCs w:val="21"/>
          <w:highlight w:val="none"/>
          <w:lang w:val="zh-CN"/>
        </w:rPr>
        <w:t>开具</w:t>
      </w:r>
      <w:r>
        <w:rPr>
          <w:rFonts w:hint="eastAsia" w:ascii="仿宋" w:hAnsi="仿宋" w:eastAsia="仿宋" w:cs="仿宋"/>
          <w:color w:val="auto"/>
          <w:sz w:val="21"/>
          <w:szCs w:val="21"/>
          <w:highlight w:val="none"/>
        </w:rPr>
        <w:t>符合法律规定的等</w:t>
      </w:r>
      <w:r>
        <w:rPr>
          <w:rFonts w:hint="eastAsia" w:ascii="仿宋" w:hAnsi="仿宋" w:eastAsia="仿宋" w:cs="仿宋"/>
          <w:color w:val="auto"/>
          <w:sz w:val="21"/>
          <w:szCs w:val="21"/>
          <w:highlight w:val="none"/>
          <w:lang w:val="zh-CN"/>
        </w:rPr>
        <w:t>额发票给学校。付款依据为合同、双方确认的配送清单、发票、验收报告等。</w:t>
      </w:r>
    </w:p>
    <w:p w14:paraId="40E62D2C">
      <w:pPr>
        <w:pStyle w:val="4"/>
        <w:keepNext w:val="0"/>
        <w:keepLines w:val="0"/>
        <w:pageBreakBefore w:val="0"/>
        <w:shd w:val="clear"/>
        <w:kinsoku/>
        <w:wordWrap/>
        <w:overflowPunct/>
        <w:topLinePunct w:val="0"/>
        <w:bidi w:val="0"/>
        <w:adjustRightInd w:val="0"/>
        <w:snapToGrid w:val="0"/>
        <w:spacing w:line="312" w:lineRule="auto"/>
        <w:ind w:left="0" w:leftChars="0"/>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 xml:space="preserve">   （三）乙方账户信息：</w:t>
      </w:r>
    </w:p>
    <w:p w14:paraId="42FC34D5">
      <w:pPr>
        <w:keepNext w:val="0"/>
        <w:keepLines w:val="0"/>
        <w:pageBreakBefore w:val="0"/>
        <w:widowControl/>
        <w:shd w:val="clear"/>
        <w:kinsoku/>
        <w:wordWrap/>
        <w:overflowPunct/>
        <w:topLinePunct w:val="0"/>
        <w:bidi w:val="0"/>
        <w:adjustRightInd w:val="0"/>
        <w:snapToGrid w:val="0"/>
        <w:spacing w:line="312" w:lineRule="auto"/>
        <w:ind w:left="0" w:leftChars="0" w:firstLine="420" w:firstLineChars="200"/>
        <w:jc w:val="left"/>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户  名：</w:t>
      </w:r>
      <w:r>
        <w:rPr>
          <w:rFonts w:hint="eastAsia" w:ascii="仿宋" w:hAnsi="仿宋" w:eastAsia="仿宋" w:cs="仿宋"/>
          <w:b w:val="0"/>
          <w:bCs/>
          <w:color w:val="auto"/>
          <w:sz w:val="21"/>
          <w:szCs w:val="21"/>
          <w:highlight w:val="none"/>
          <w:u w:val="single"/>
          <w:lang w:val="en-US" w:eastAsia="zh-CN"/>
        </w:rPr>
        <w:t xml:space="preserve">       </w:t>
      </w:r>
    </w:p>
    <w:p w14:paraId="116B05A2">
      <w:pPr>
        <w:keepNext w:val="0"/>
        <w:keepLines w:val="0"/>
        <w:pageBreakBefore w:val="0"/>
        <w:widowControl/>
        <w:shd w:val="clear"/>
        <w:kinsoku/>
        <w:wordWrap/>
        <w:overflowPunct/>
        <w:topLinePunct w:val="0"/>
        <w:bidi w:val="0"/>
        <w:adjustRightInd w:val="0"/>
        <w:snapToGrid w:val="0"/>
        <w:spacing w:line="312" w:lineRule="auto"/>
        <w:ind w:left="0" w:leftChars="0" w:firstLine="420" w:firstLineChars="200"/>
        <w:jc w:val="left"/>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开户行：</w:t>
      </w:r>
      <w:r>
        <w:rPr>
          <w:rFonts w:hint="eastAsia" w:ascii="仿宋" w:hAnsi="仿宋" w:eastAsia="仿宋" w:cs="仿宋"/>
          <w:b w:val="0"/>
          <w:bCs/>
          <w:color w:val="auto"/>
          <w:sz w:val="21"/>
          <w:szCs w:val="21"/>
          <w:highlight w:val="none"/>
          <w:u w:val="single"/>
          <w:lang w:val="en-US" w:eastAsia="zh-CN"/>
        </w:rPr>
        <w:t xml:space="preserve">       </w:t>
      </w:r>
    </w:p>
    <w:p w14:paraId="119635FF">
      <w:pPr>
        <w:keepNext w:val="0"/>
        <w:keepLines w:val="0"/>
        <w:pageBreakBefore w:val="0"/>
        <w:widowControl/>
        <w:shd w:val="clear"/>
        <w:kinsoku/>
        <w:wordWrap/>
        <w:overflowPunct/>
        <w:topLinePunct w:val="0"/>
        <w:bidi w:val="0"/>
        <w:adjustRightInd w:val="0"/>
        <w:snapToGrid w:val="0"/>
        <w:spacing w:line="312" w:lineRule="auto"/>
        <w:ind w:left="0" w:leftChars="0" w:firstLine="420" w:firstLineChars="200"/>
        <w:jc w:val="left"/>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账  号：</w:t>
      </w:r>
      <w:r>
        <w:rPr>
          <w:rFonts w:hint="eastAsia" w:ascii="仿宋" w:hAnsi="仿宋" w:eastAsia="仿宋" w:cs="仿宋"/>
          <w:b w:val="0"/>
          <w:bCs/>
          <w:color w:val="auto"/>
          <w:sz w:val="21"/>
          <w:szCs w:val="21"/>
          <w:highlight w:val="none"/>
          <w:u w:val="single"/>
          <w:lang w:val="en-US" w:eastAsia="zh-CN"/>
        </w:rPr>
        <w:t xml:space="preserve">       </w:t>
      </w:r>
    </w:p>
    <w:p w14:paraId="54FC28FE">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422" w:firstLineChars="200"/>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第四条  配送周期</w:t>
      </w:r>
    </w:p>
    <w:p w14:paraId="77CAE077">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420" w:firstLineChars="200"/>
        <w:textAlignment w:val="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rPr>
        <w:t>2026年9月至2027年7月(以学校放假时间为准)</w:t>
      </w:r>
      <w:r>
        <w:rPr>
          <w:rFonts w:hint="eastAsia" w:ascii="仿宋" w:hAnsi="仿宋" w:eastAsia="仿宋" w:cs="仿宋"/>
          <w:bCs/>
          <w:color w:val="auto"/>
          <w:sz w:val="21"/>
          <w:szCs w:val="21"/>
          <w:highlight w:val="none"/>
        </w:rPr>
        <w:t>。</w:t>
      </w:r>
    </w:p>
    <w:p w14:paraId="6C22F850">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422" w:firstLineChars="200"/>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第五条  其他要求</w:t>
      </w:r>
    </w:p>
    <w:p w14:paraId="7F556396">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结合实际情况，</w:t>
      </w:r>
      <w:r>
        <w:rPr>
          <w:rFonts w:hint="eastAsia" w:ascii="仿宋" w:hAnsi="仿宋" w:eastAsia="仿宋" w:cs="仿宋"/>
          <w:bCs/>
          <w:color w:val="auto"/>
          <w:sz w:val="21"/>
          <w:szCs w:val="21"/>
          <w:highlight w:val="none"/>
          <w:lang w:val="en-US" w:eastAsia="zh-CN"/>
        </w:rPr>
        <w:t>教育局</w:t>
      </w:r>
      <w:r>
        <w:rPr>
          <w:rFonts w:hint="eastAsia" w:ascii="仿宋" w:hAnsi="仿宋" w:eastAsia="仿宋" w:cs="仿宋"/>
          <w:bCs/>
          <w:color w:val="auto"/>
          <w:sz w:val="21"/>
          <w:szCs w:val="21"/>
          <w:highlight w:val="none"/>
        </w:rPr>
        <w:t>有权对因学校拆迁分流等特殊情况导致学生人数变化的学校进行供餐</w:t>
      </w:r>
      <w:r>
        <w:rPr>
          <w:rFonts w:hint="eastAsia" w:ascii="仿宋" w:hAnsi="仿宋" w:eastAsia="仿宋" w:cs="仿宋"/>
          <w:bCs/>
          <w:color w:val="auto"/>
          <w:sz w:val="21"/>
          <w:szCs w:val="21"/>
          <w:highlight w:val="none"/>
          <w:lang w:val="en-US" w:eastAsia="zh-CN"/>
        </w:rPr>
        <w:t>人数</w:t>
      </w:r>
      <w:r>
        <w:rPr>
          <w:rFonts w:hint="eastAsia" w:ascii="仿宋" w:hAnsi="仿宋" w:eastAsia="仿宋" w:cs="仿宋"/>
          <w:bCs/>
          <w:color w:val="auto"/>
          <w:sz w:val="21"/>
          <w:szCs w:val="21"/>
          <w:highlight w:val="none"/>
        </w:rPr>
        <w:t>的调整，乙方应当按照</w:t>
      </w:r>
      <w:r>
        <w:rPr>
          <w:rFonts w:hint="eastAsia" w:ascii="仿宋" w:hAnsi="仿宋" w:eastAsia="仿宋" w:cs="仿宋"/>
          <w:bCs/>
          <w:color w:val="auto"/>
          <w:sz w:val="21"/>
          <w:szCs w:val="21"/>
          <w:highlight w:val="none"/>
          <w:lang w:val="en-US" w:eastAsia="zh-CN"/>
        </w:rPr>
        <w:t>教育局及学校</w:t>
      </w:r>
      <w:r>
        <w:rPr>
          <w:rFonts w:hint="eastAsia" w:ascii="仿宋" w:hAnsi="仿宋" w:eastAsia="仿宋" w:cs="仿宋"/>
          <w:bCs/>
          <w:color w:val="auto"/>
          <w:sz w:val="21"/>
          <w:szCs w:val="21"/>
          <w:highlight w:val="none"/>
        </w:rPr>
        <w:t>相关要求，做好人数调整及配送服务，根据实际供货数量据实结算。</w:t>
      </w:r>
    </w:p>
    <w:p w14:paraId="502E4502">
      <w:pPr>
        <w:keepNext w:val="0"/>
        <w:keepLines w:val="0"/>
        <w:pageBreakBefore w:val="0"/>
        <w:shd w:val="clear"/>
        <w:kinsoku/>
        <w:wordWrap/>
        <w:overflowPunct/>
        <w:topLinePunct w:val="0"/>
        <w:bidi w:val="0"/>
        <w:adjustRightInd w:val="0"/>
        <w:snapToGrid w:val="0"/>
        <w:spacing w:line="312" w:lineRule="auto"/>
        <w:ind w:left="0" w:leftChars="0" w:firstLine="422" w:firstLineChars="200"/>
        <w:textAlignment w:val="auto"/>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rPr>
        <w:t>第六条  交货时间与供货地点</w:t>
      </w:r>
    </w:p>
    <w:p w14:paraId="2F2895CE">
      <w:pPr>
        <w:keepNext w:val="0"/>
        <w:keepLines w:val="0"/>
        <w:pageBreakBefore w:val="0"/>
        <w:shd w:val="clear"/>
        <w:kinsoku/>
        <w:wordWrap/>
        <w:overflowPunct/>
        <w:topLinePunct w:val="0"/>
        <w:bidi w:val="0"/>
        <w:adjustRightInd w:val="0"/>
        <w:snapToGrid w:val="0"/>
        <w:spacing w:line="312" w:lineRule="auto"/>
        <w:ind w:left="0" w:leftChars="0" w:firstLine="420" w:firstLineChars="200"/>
        <w:textAlignment w:val="auto"/>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（一）交货时间（期限）：</w:t>
      </w:r>
      <w:r>
        <w:rPr>
          <w:rFonts w:hint="eastAsia" w:ascii="仿宋" w:hAnsi="仿宋" w:eastAsia="仿宋" w:cs="仿宋"/>
          <w:bCs/>
          <w:color w:val="auto"/>
          <w:sz w:val="21"/>
          <w:szCs w:val="21"/>
          <w:highlight w:val="none"/>
          <w:lang w:val="en-US" w:eastAsia="zh-CN"/>
        </w:rPr>
        <w:t>奶类</w:t>
      </w:r>
      <w:r>
        <w:rPr>
          <w:rFonts w:hint="eastAsia" w:ascii="仿宋" w:hAnsi="仿宋" w:eastAsia="仿宋" w:cs="仿宋"/>
          <w:bCs/>
          <w:color w:val="auto"/>
          <w:sz w:val="21"/>
          <w:szCs w:val="21"/>
          <w:highlight w:val="none"/>
          <w:lang w:eastAsia="zh-CN"/>
        </w:rPr>
        <w:t>每周至少配送两次，根据学校需求数量可增加配送次数，每次配送按照学校要求时间准时送达。</w:t>
      </w:r>
    </w:p>
    <w:p w14:paraId="144E41C1">
      <w:pPr>
        <w:keepNext w:val="0"/>
        <w:keepLines w:val="0"/>
        <w:pageBreakBefore w:val="0"/>
        <w:shd w:val="clear"/>
        <w:kinsoku/>
        <w:wordWrap/>
        <w:overflowPunct/>
        <w:topLinePunct w:val="0"/>
        <w:bidi w:val="0"/>
        <w:adjustRightInd w:val="0"/>
        <w:snapToGrid w:val="0"/>
        <w:spacing w:line="312"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bCs/>
          <w:color w:val="auto"/>
          <w:sz w:val="21"/>
          <w:szCs w:val="21"/>
          <w:highlight w:val="none"/>
        </w:rPr>
        <w:t>（二）交货地点：甲方提供的各学校。</w:t>
      </w:r>
    </w:p>
    <w:p w14:paraId="465ECBA0">
      <w:pPr>
        <w:keepNext w:val="0"/>
        <w:keepLines w:val="0"/>
        <w:pageBreakBefore w:val="0"/>
        <w:shd w:val="clear"/>
        <w:kinsoku/>
        <w:wordWrap/>
        <w:overflowPunct/>
        <w:topLinePunct w:val="0"/>
        <w:bidi w:val="0"/>
        <w:adjustRightInd w:val="0"/>
        <w:snapToGrid w:val="0"/>
        <w:spacing w:line="312" w:lineRule="auto"/>
        <w:ind w:left="0" w:leftChars="0" w:firstLine="422" w:firstLineChars="200"/>
        <w:textAlignment w:val="auto"/>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rPr>
        <w:t>第七条  配送方式</w:t>
      </w:r>
    </w:p>
    <w:p w14:paraId="41F3C8A7">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（一）乙方应单独组织专业配送人员及</w:t>
      </w:r>
      <w:r>
        <w:rPr>
          <w:rFonts w:hint="eastAsia" w:ascii="仿宋" w:hAnsi="仿宋" w:eastAsia="仿宋" w:cs="仿宋"/>
          <w:bCs/>
          <w:color w:val="auto"/>
          <w:sz w:val="21"/>
          <w:szCs w:val="21"/>
          <w:highlight w:val="none"/>
          <w:lang w:val="en-US" w:eastAsia="zh-CN"/>
        </w:rPr>
        <w:t>专用冷链</w:t>
      </w:r>
      <w:r>
        <w:rPr>
          <w:rFonts w:hint="eastAsia" w:ascii="仿宋" w:hAnsi="仿宋" w:eastAsia="仿宋" w:cs="仿宋"/>
          <w:bCs/>
          <w:color w:val="auto"/>
          <w:sz w:val="21"/>
          <w:szCs w:val="21"/>
          <w:highlight w:val="none"/>
        </w:rPr>
        <w:t xml:space="preserve">车辆对货物进行统一配送。 </w:t>
      </w:r>
    </w:p>
    <w:p w14:paraId="19031BF2">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（二）货物配送必须</w:t>
      </w:r>
      <w:r>
        <w:rPr>
          <w:rFonts w:hint="eastAsia" w:ascii="仿宋" w:hAnsi="仿宋" w:eastAsia="仿宋" w:cs="仿宋"/>
          <w:bCs/>
          <w:color w:val="auto"/>
          <w:sz w:val="21"/>
          <w:szCs w:val="21"/>
          <w:highlight w:val="none"/>
          <w:lang w:eastAsia="zh-Hans"/>
        </w:rPr>
        <w:t>由</w:t>
      </w:r>
      <w:r>
        <w:rPr>
          <w:rFonts w:hint="eastAsia" w:ascii="仿宋" w:hAnsi="仿宋" w:eastAsia="仿宋" w:cs="仿宋"/>
          <w:bCs/>
          <w:color w:val="auto"/>
          <w:sz w:val="21"/>
          <w:szCs w:val="21"/>
          <w:highlight w:val="none"/>
        </w:rPr>
        <w:t>乙方直接一次性配送到位，不得中转，不得采取委托、承包、转让、转包给其他公司、区域代理商或者个人进行配送，配送车辆必须采</w:t>
      </w:r>
      <w:r>
        <w:rPr>
          <w:rFonts w:hint="eastAsia" w:ascii="仿宋" w:hAnsi="仿宋" w:eastAsia="仿宋" w:cs="仿宋"/>
          <w:bCs/>
          <w:color w:val="auto"/>
          <w:sz w:val="21"/>
          <w:szCs w:val="21"/>
          <w:highlight w:val="none"/>
          <w:lang w:eastAsia="zh-Hans"/>
        </w:rPr>
        <w:t>用</w:t>
      </w:r>
      <w:r>
        <w:rPr>
          <w:rFonts w:hint="eastAsia" w:ascii="仿宋" w:hAnsi="仿宋" w:eastAsia="仿宋" w:cs="仿宋"/>
          <w:bCs/>
          <w:color w:val="auto"/>
          <w:sz w:val="21"/>
          <w:szCs w:val="21"/>
          <w:highlight w:val="none"/>
        </w:rPr>
        <w:t>密闭车辆。</w:t>
      </w:r>
    </w:p>
    <w:p w14:paraId="790E14DE">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（三）乙方负责所有货物的运输。确保货物安全、完整到达使用地点，运杂费用包含在总价内，包括货物从供货地点到使用地点的运输费、保险费、搬运费等。</w:t>
      </w:r>
    </w:p>
    <w:p w14:paraId="059CEC6C">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（四）乙方在按相关规定送货到位后，</w:t>
      </w:r>
      <w:r>
        <w:rPr>
          <w:rFonts w:hint="eastAsia" w:ascii="仿宋" w:hAnsi="仿宋" w:eastAsia="仿宋" w:cs="仿宋"/>
          <w:bCs/>
          <w:color w:val="auto"/>
          <w:sz w:val="21"/>
          <w:szCs w:val="21"/>
          <w:highlight w:val="none"/>
        </w:rPr>
        <w:t>配送人员应及时配合学校接货，并配合学校对合同指定的产品进行验收；对破包、胀包、变质、受污染的产品，学校有权拒绝接收。</w:t>
      </w:r>
    </w:p>
    <w:p w14:paraId="76A39182">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420" w:firstLineChars="200"/>
        <w:textAlignment w:val="auto"/>
        <w:rPr>
          <w:rFonts w:hint="eastAsia" w:ascii="仿宋" w:hAnsi="仿宋" w:eastAsia="仿宋" w:cs="仿宋"/>
          <w:b/>
          <w:color w:val="auto"/>
          <w:sz w:val="21"/>
          <w:szCs w:val="21"/>
          <w:highlight w:val="none"/>
        </w:rPr>
      </w:pPr>
      <w:r>
        <w:rPr>
          <w:rFonts w:hint="eastAsia" w:ascii="仿宋" w:hAnsi="仿宋" w:eastAsia="仿宋" w:cs="仿宋"/>
          <w:bCs/>
          <w:color w:val="auto"/>
          <w:sz w:val="21"/>
          <w:szCs w:val="21"/>
          <w:highlight w:val="none"/>
        </w:rPr>
        <w:t>（五）在</w:t>
      </w:r>
      <w:r>
        <w:rPr>
          <w:rFonts w:hint="eastAsia" w:ascii="仿宋" w:hAnsi="仿宋" w:eastAsia="仿宋" w:cs="仿宋"/>
          <w:bCs/>
          <w:color w:val="auto"/>
          <w:sz w:val="21"/>
          <w:szCs w:val="21"/>
          <w:highlight w:val="none"/>
          <w:lang w:eastAsia="zh-Hans"/>
        </w:rPr>
        <w:t>乙方配送人员</w:t>
      </w:r>
      <w:r>
        <w:rPr>
          <w:rFonts w:hint="eastAsia" w:ascii="仿宋" w:hAnsi="仿宋" w:eastAsia="仿宋" w:cs="仿宋"/>
          <w:bCs/>
          <w:color w:val="auto"/>
          <w:sz w:val="21"/>
          <w:szCs w:val="21"/>
          <w:highlight w:val="none"/>
        </w:rPr>
        <w:t>运输</w:t>
      </w:r>
      <w:bookmarkStart w:id="0" w:name="OLE_LINK1"/>
      <w:bookmarkStart w:id="1" w:name="OLE_LINK2"/>
      <w:r>
        <w:rPr>
          <w:rFonts w:hint="eastAsia" w:ascii="仿宋" w:hAnsi="仿宋" w:eastAsia="仿宋" w:cs="仿宋"/>
          <w:bCs/>
          <w:color w:val="auto"/>
          <w:sz w:val="21"/>
          <w:szCs w:val="21"/>
          <w:highlight w:val="none"/>
        </w:rPr>
        <w:t>、</w:t>
      </w:r>
      <w:bookmarkEnd w:id="0"/>
      <w:bookmarkEnd w:id="1"/>
      <w:r>
        <w:rPr>
          <w:rFonts w:hint="eastAsia" w:ascii="仿宋" w:hAnsi="仿宋" w:eastAsia="仿宋" w:cs="仿宋"/>
          <w:bCs/>
          <w:color w:val="auto"/>
          <w:sz w:val="21"/>
          <w:szCs w:val="21"/>
          <w:highlight w:val="none"/>
        </w:rPr>
        <w:t>搬运、安装的过程中，造成使用学校设施设备等资产损失的，由乙方为使用学校修复或更新。</w:t>
      </w:r>
    </w:p>
    <w:p w14:paraId="051F1107">
      <w:pPr>
        <w:keepNext w:val="0"/>
        <w:keepLines w:val="0"/>
        <w:pageBreakBefore w:val="0"/>
        <w:shd w:val="clear"/>
        <w:kinsoku/>
        <w:wordWrap/>
        <w:overflowPunct/>
        <w:topLinePunct w:val="0"/>
        <w:bidi w:val="0"/>
        <w:adjustRightInd w:val="0"/>
        <w:snapToGrid w:val="0"/>
        <w:spacing w:line="312" w:lineRule="auto"/>
        <w:ind w:left="0" w:leftChars="0" w:firstLine="422" w:firstLineChars="200"/>
        <w:textAlignment w:val="auto"/>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rPr>
        <w:t>第八条  质量保证</w:t>
      </w:r>
    </w:p>
    <w:p w14:paraId="4C0FE48C">
      <w:pPr>
        <w:pStyle w:val="4"/>
        <w:keepNext w:val="0"/>
        <w:keepLines w:val="0"/>
        <w:pageBreakBefore w:val="0"/>
        <w:shd w:val="clear"/>
        <w:kinsoku/>
        <w:wordWrap/>
        <w:overflowPunct/>
        <w:topLinePunct w:val="0"/>
        <w:bidi w:val="0"/>
        <w:adjustRightInd w:val="0"/>
        <w:snapToGrid w:val="0"/>
        <w:spacing w:line="312" w:lineRule="auto"/>
        <w:ind w:left="0" w:leftChars="0" w:firstLine="420" w:firstLineChars="200"/>
        <w:textAlignment w:val="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（一）乙方提供的产品必须是正规企业生产的产品，符合国家及行业相关要求。</w:t>
      </w:r>
    </w:p>
    <w:p w14:paraId="5C62B685">
      <w:pPr>
        <w:pStyle w:val="4"/>
        <w:keepNext w:val="0"/>
        <w:keepLines w:val="0"/>
        <w:pageBreakBefore w:val="0"/>
        <w:shd w:val="clear"/>
        <w:kinsoku/>
        <w:wordWrap/>
        <w:overflowPunct/>
        <w:topLinePunct w:val="0"/>
        <w:bidi w:val="0"/>
        <w:adjustRightInd w:val="0"/>
        <w:snapToGrid w:val="0"/>
        <w:spacing w:line="312" w:lineRule="auto"/>
        <w:ind w:left="0" w:leftChars="0" w:firstLine="420" w:firstLineChars="200"/>
        <w:textAlignment w:val="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（二）乙方所供货物是经过国家相关部门检验认可的或检测机构检验、注册、准许市场销售的合法产品。</w:t>
      </w:r>
    </w:p>
    <w:p w14:paraId="4CFD823A">
      <w:pPr>
        <w:pStyle w:val="4"/>
        <w:keepNext w:val="0"/>
        <w:keepLines w:val="0"/>
        <w:pageBreakBefore w:val="0"/>
        <w:shd w:val="clear"/>
        <w:kinsoku/>
        <w:wordWrap/>
        <w:overflowPunct/>
        <w:topLinePunct w:val="0"/>
        <w:bidi w:val="0"/>
        <w:adjustRightInd w:val="0"/>
        <w:snapToGrid w:val="0"/>
        <w:spacing w:line="312" w:lineRule="auto"/>
        <w:ind w:left="0" w:leftChars="0" w:firstLine="420" w:firstLineChars="200"/>
        <w:textAlignment w:val="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（三）货物的质保期符合国家标准。</w:t>
      </w:r>
    </w:p>
    <w:p w14:paraId="129F7CB5">
      <w:pPr>
        <w:pStyle w:val="4"/>
        <w:keepNext w:val="0"/>
        <w:keepLines w:val="0"/>
        <w:pageBreakBefore w:val="0"/>
        <w:shd w:val="clear"/>
        <w:kinsoku/>
        <w:wordWrap/>
        <w:overflowPunct/>
        <w:topLinePunct w:val="0"/>
        <w:bidi w:val="0"/>
        <w:adjustRightInd w:val="0"/>
        <w:snapToGrid w:val="0"/>
        <w:spacing w:line="312" w:lineRule="auto"/>
        <w:ind w:left="0" w:leftChars="0" w:firstLine="420" w:firstLineChars="200"/>
        <w:textAlignment w:val="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（四）</w:t>
      </w:r>
      <w:r>
        <w:rPr>
          <w:rFonts w:hint="eastAsia" w:ascii="仿宋" w:hAnsi="仿宋" w:eastAsia="仿宋" w:cs="仿宋"/>
          <w:b w:val="0"/>
          <w:bCs/>
          <w:color w:val="auto"/>
          <w:sz w:val="21"/>
          <w:szCs w:val="21"/>
          <w:highlight w:val="none"/>
          <w:lang w:val="en-US" w:eastAsia="zh-CN"/>
        </w:rPr>
        <w:t>奶制品选用最新生产日期的产品，严禁送临期奶制品。</w:t>
      </w:r>
    </w:p>
    <w:p w14:paraId="53389A8B">
      <w:pPr>
        <w:pStyle w:val="4"/>
        <w:keepNext w:val="0"/>
        <w:keepLines w:val="0"/>
        <w:pageBreakBefore w:val="0"/>
        <w:shd w:val="clear"/>
        <w:kinsoku/>
        <w:wordWrap/>
        <w:overflowPunct/>
        <w:topLinePunct w:val="0"/>
        <w:bidi w:val="0"/>
        <w:adjustRightInd w:val="0"/>
        <w:snapToGrid w:val="0"/>
        <w:spacing w:line="312" w:lineRule="auto"/>
        <w:ind w:left="0" w:leftChars="0" w:firstLine="420" w:firstLineChars="200"/>
        <w:textAlignment w:val="auto"/>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（五）</w:t>
      </w:r>
      <w:r>
        <w:rPr>
          <w:rFonts w:hint="eastAsia" w:ascii="仿宋" w:hAnsi="仿宋" w:eastAsia="仿宋" w:cs="仿宋"/>
          <w:b w:val="0"/>
          <w:bCs/>
          <w:color w:val="auto"/>
          <w:sz w:val="21"/>
          <w:szCs w:val="21"/>
          <w:highlight w:val="none"/>
          <w:lang w:eastAsia="zh-CN"/>
        </w:rPr>
        <w:t>乙方提供的食材</w:t>
      </w:r>
      <w:r>
        <w:rPr>
          <w:rFonts w:hint="eastAsia" w:ascii="仿宋" w:hAnsi="仿宋" w:eastAsia="仿宋" w:cs="仿宋"/>
          <w:b w:val="0"/>
          <w:bCs/>
          <w:color w:val="auto"/>
          <w:sz w:val="21"/>
          <w:szCs w:val="21"/>
          <w:highlight w:val="none"/>
        </w:rPr>
        <w:t>若出现食材质量问题（如变质、</w:t>
      </w:r>
      <w:r>
        <w:rPr>
          <w:rFonts w:hint="eastAsia" w:ascii="仿宋" w:hAnsi="仿宋" w:eastAsia="仿宋" w:cs="仿宋"/>
          <w:b w:val="0"/>
          <w:bCs/>
          <w:color w:val="auto"/>
          <w:sz w:val="21"/>
          <w:szCs w:val="21"/>
          <w:highlight w:val="none"/>
          <w:lang w:eastAsia="zh-CN"/>
        </w:rPr>
        <w:t>发霉、</w:t>
      </w:r>
      <w:r>
        <w:rPr>
          <w:rFonts w:hint="eastAsia" w:ascii="仿宋" w:hAnsi="仿宋" w:eastAsia="仿宋" w:cs="仿宋"/>
          <w:b w:val="0"/>
          <w:bCs/>
          <w:color w:val="auto"/>
          <w:sz w:val="21"/>
          <w:szCs w:val="21"/>
          <w:highlight w:val="none"/>
        </w:rPr>
        <w:t>过期</w:t>
      </w:r>
      <w:r>
        <w:rPr>
          <w:rFonts w:hint="eastAsia" w:ascii="仿宋" w:hAnsi="仿宋" w:eastAsia="仿宋" w:cs="仿宋"/>
          <w:b w:val="0"/>
          <w:bCs/>
          <w:color w:val="auto"/>
          <w:sz w:val="21"/>
          <w:szCs w:val="21"/>
          <w:highlight w:val="none"/>
          <w:lang w:eastAsia="zh-CN"/>
        </w:rPr>
        <w:t>、异味</w:t>
      </w:r>
      <w:r>
        <w:rPr>
          <w:rFonts w:hint="eastAsia" w:ascii="仿宋" w:hAnsi="仿宋" w:eastAsia="仿宋" w:cs="仿宋"/>
          <w:b w:val="0"/>
          <w:bCs/>
          <w:color w:val="auto"/>
          <w:sz w:val="21"/>
          <w:szCs w:val="21"/>
          <w:highlight w:val="none"/>
        </w:rPr>
        <w:t>等），第一次发生时，当场拒收问题食材，要求</w:t>
      </w:r>
      <w:r>
        <w:rPr>
          <w:rFonts w:hint="eastAsia" w:ascii="仿宋" w:hAnsi="仿宋" w:eastAsia="仿宋" w:cs="仿宋"/>
          <w:b w:val="0"/>
          <w:bCs/>
          <w:color w:val="auto"/>
          <w:sz w:val="21"/>
          <w:szCs w:val="21"/>
          <w:highlight w:val="none"/>
          <w:lang w:eastAsia="zh-CN"/>
        </w:rPr>
        <w:t>乙方</w:t>
      </w:r>
      <w:r>
        <w:rPr>
          <w:rFonts w:hint="eastAsia" w:ascii="仿宋" w:hAnsi="仿宋" w:eastAsia="仿宋" w:cs="仿宋"/>
          <w:b w:val="0"/>
          <w:bCs/>
          <w:color w:val="auto"/>
          <w:sz w:val="21"/>
          <w:szCs w:val="21"/>
          <w:highlight w:val="none"/>
          <w:lang w:val="en-US" w:eastAsia="zh-CN"/>
        </w:rPr>
        <w:t>立即</w:t>
      </w:r>
      <w:r>
        <w:rPr>
          <w:rFonts w:hint="eastAsia" w:ascii="仿宋" w:hAnsi="仿宋" w:eastAsia="仿宋" w:cs="仿宋"/>
          <w:b w:val="0"/>
          <w:bCs/>
          <w:color w:val="auto"/>
          <w:sz w:val="21"/>
          <w:szCs w:val="21"/>
          <w:highlight w:val="none"/>
        </w:rPr>
        <w:t>完成退换货，同时按问题食材货值的3倍支付违约金（最低</w:t>
      </w:r>
      <w:r>
        <w:rPr>
          <w:rFonts w:hint="eastAsia" w:ascii="仿宋" w:hAnsi="仿宋" w:eastAsia="仿宋" w:cs="仿宋"/>
          <w:b w:val="0"/>
          <w:bCs/>
          <w:color w:val="auto"/>
          <w:sz w:val="21"/>
          <w:szCs w:val="21"/>
          <w:highlight w:val="none"/>
          <w:lang w:val="en-US" w:eastAsia="zh-CN"/>
        </w:rPr>
        <w:t>30</w:t>
      </w:r>
      <w:r>
        <w:rPr>
          <w:rFonts w:hint="eastAsia" w:ascii="仿宋" w:hAnsi="仿宋" w:eastAsia="仿宋" w:cs="仿宋"/>
          <w:b w:val="0"/>
          <w:bCs/>
          <w:color w:val="auto"/>
          <w:sz w:val="21"/>
          <w:szCs w:val="21"/>
          <w:highlight w:val="none"/>
        </w:rPr>
        <w:t>00元）并给予警告；第二次发生时，暂停该</w:t>
      </w:r>
      <w:r>
        <w:rPr>
          <w:rFonts w:hint="eastAsia" w:ascii="仿宋" w:hAnsi="仿宋" w:eastAsia="仿宋" w:cs="仿宋"/>
          <w:b w:val="0"/>
          <w:bCs/>
          <w:color w:val="auto"/>
          <w:sz w:val="21"/>
          <w:szCs w:val="21"/>
          <w:highlight w:val="none"/>
          <w:lang w:eastAsia="zh-CN"/>
        </w:rPr>
        <w:t>乙方</w:t>
      </w:r>
      <w:r>
        <w:rPr>
          <w:rFonts w:hint="eastAsia" w:ascii="仿宋" w:hAnsi="仿宋" w:eastAsia="仿宋" w:cs="仿宋"/>
          <w:b w:val="0"/>
          <w:bCs/>
          <w:color w:val="auto"/>
          <w:sz w:val="21"/>
          <w:szCs w:val="21"/>
          <w:highlight w:val="none"/>
        </w:rPr>
        <w:t>当日所有供应，</w:t>
      </w:r>
      <w:r>
        <w:rPr>
          <w:rFonts w:hint="eastAsia" w:ascii="仿宋" w:hAnsi="仿宋" w:eastAsia="仿宋" w:cs="仿宋"/>
          <w:b w:val="0"/>
          <w:bCs/>
          <w:color w:val="auto"/>
          <w:sz w:val="21"/>
          <w:szCs w:val="21"/>
          <w:highlight w:val="none"/>
          <w:lang w:eastAsia="zh-CN"/>
        </w:rPr>
        <w:t>立即</w:t>
      </w:r>
      <w:r>
        <w:rPr>
          <w:rFonts w:hint="eastAsia" w:ascii="仿宋" w:hAnsi="仿宋" w:eastAsia="仿宋" w:cs="仿宋"/>
          <w:b w:val="0"/>
          <w:bCs/>
          <w:color w:val="auto"/>
          <w:sz w:val="21"/>
          <w:szCs w:val="21"/>
          <w:highlight w:val="none"/>
        </w:rPr>
        <w:t>清退同批次/同品类食材并由</w:t>
      </w:r>
      <w:r>
        <w:rPr>
          <w:rFonts w:hint="eastAsia" w:ascii="仿宋" w:hAnsi="仿宋" w:eastAsia="仿宋" w:cs="仿宋"/>
          <w:b w:val="0"/>
          <w:bCs/>
          <w:color w:val="auto"/>
          <w:sz w:val="21"/>
          <w:szCs w:val="21"/>
          <w:highlight w:val="none"/>
          <w:lang w:eastAsia="zh-CN"/>
        </w:rPr>
        <w:t>乙方</w:t>
      </w:r>
      <w:r>
        <w:rPr>
          <w:rFonts w:hint="eastAsia" w:ascii="仿宋" w:hAnsi="仿宋" w:eastAsia="仿宋" w:cs="仿宋"/>
          <w:b w:val="0"/>
          <w:bCs/>
          <w:color w:val="auto"/>
          <w:sz w:val="21"/>
          <w:szCs w:val="21"/>
          <w:highlight w:val="none"/>
        </w:rPr>
        <w:t>承担第三方检测费用，按货值5倍支付违约金（最低</w:t>
      </w:r>
      <w:r>
        <w:rPr>
          <w:rFonts w:hint="eastAsia" w:ascii="仿宋" w:hAnsi="仿宋" w:eastAsia="仿宋" w:cs="仿宋"/>
          <w:b w:val="0"/>
          <w:bCs/>
          <w:color w:val="auto"/>
          <w:sz w:val="21"/>
          <w:szCs w:val="21"/>
          <w:highlight w:val="none"/>
          <w:lang w:val="en-US" w:eastAsia="zh-CN"/>
        </w:rPr>
        <w:t>5</w:t>
      </w:r>
      <w:r>
        <w:rPr>
          <w:rFonts w:hint="eastAsia" w:ascii="仿宋" w:hAnsi="仿宋" w:eastAsia="仿宋" w:cs="仿宋"/>
          <w:b w:val="0"/>
          <w:bCs/>
          <w:color w:val="auto"/>
          <w:sz w:val="21"/>
          <w:szCs w:val="21"/>
          <w:highlight w:val="none"/>
        </w:rPr>
        <w:t>000元）；第三次发生时，暂停该</w:t>
      </w:r>
      <w:r>
        <w:rPr>
          <w:rFonts w:hint="eastAsia" w:ascii="仿宋" w:hAnsi="仿宋" w:eastAsia="仿宋" w:cs="仿宋"/>
          <w:b w:val="0"/>
          <w:bCs/>
          <w:color w:val="auto"/>
          <w:sz w:val="21"/>
          <w:szCs w:val="21"/>
          <w:highlight w:val="none"/>
          <w:lang w:eastAsia="zh-CN"/>
        </w:rPr>
        <w:t>乙方</w:t>
      </w:r>
      <w:r>
        <w:rPr>
          <w:rFonts w:hint="eastAsia" w:ascii="仿宋" w:hAnsi="仿宋" w:eastAsia="仿宋" w:cs="仿宋"/>
          <w:b w:val="0"/>
          <w:bCs/>
          <w:color w:val="auto"/>
          <w:sz w:val="21"/>
          <w:szCs w:val="21"/>
          <w:highlight w:val="none"/>
        </w:rPr>
        <w:t>当日所有供应</w:t>
      </w:r>
      <w:r>
        <w:rPr>
          <w:rFonts w:hint="eastAsia" w:ascii="仿宋" w:hAnsi="仿宋" w:eastAsia="仿宋" w:cs="仿宋"/>
          <w:b w:val="0"/>
          <w:bCs/>
          <w:color w:val="auto"/>
          <w:sz w:val="21"/>
          <w:szCs w:val="21"/>
          <w:highlight w:val="none"/>
          <w:lang w:eastAsia="zh-CN"/>
        </w:rPr>
        <w:t>，立即</w:t>
      </w:r>
      <w:r>
        <w:rPr>
          <w:rFonts w:hint="eastAsia" w:ascii="仿宋" w:hAnsi="仿宋" w:eastAsia="仿宋" w:cs="仿宋"/>
          <w:b w:val="0"/>
          <w:bCs/>
          <w:color w:val="auto"/>
          <w:sz w:val="21"/>
          <w:szCs w:val="21"/>
          <w:highlight w:val="none"/>
        </w:rPr>
        <w:t>清退同批次/同品类食材并由</w:t>
      </w:r>
      <w:r>
        <w:rPr>
          <w:rFonts w:hint="eastAsia" w:ascii="仿宋" w:hAnsi="仿宋" w:eastAsia="仿宋" w:cs="仿宋"/>
          <w:b w:val="0"/>
          <w:bCs/>
          <w:color w:val="auto"/>
          <w:sz w:val="21"/>
          <w:szCs w:val="21"/>
          <w:highlight w:val="none"/>
          <w:lang w:eastAsia="zh-CN"/>
        </w:rPr>
        <w:t>乙方</w:t>
      </w:r>
      <w:r>
        <w:rPr>
          <w:rFonts w:hint="eastAsia" w:ascii="仿宋" w:hAnsi="仿宋" w:eastAsia="仿宋" w:cs="仿宋"/>
          <w:b w:val="0"/>
          <w:bCs/>
          <w:color w:val="auto"/>
          <w:sz w:val="21"/>
          <w:szCs w:val="21"/>
          <w:highlight w:val="none"/>
        </w:rPr>
        <w:t>承担第三方检测费用，按货值</w:t>
      </w:r>
      <w:r>
        <w:rPr>
          <w:rFonts w:hint="eastAsia" w:ascii="仿宋" w:hAnsi="仿宋" w:eastAsia="仿宋" w:cs="仿宋"/>
          <w:b w:val="0"/>
          <w:bCs/>
          <w:color w:val="auto"/>
          <w:sz w:val="21"/>
          <w:szCs w:val="21"/>
          <w:highlight w:val="none"/>
          <w:lang w:val="en-US" w:eastAsia="zh-CN"/>
        </w:rPr>
        <w:t>10</w:t>
      </w:r>
      <w:r>
        <w:rPr>
          <w:rFonts w:hint="eastAsia" w:ascii="仿宋" w:hAnsi="仿宋" w:eastAsia="仿宋" w:cs="仿宋"/>
          <w:b w:val="0"/>
          <w:bCs/>
          <w:color w:val="auto"/>
          <w:sz w:val="21"/>
          <w:szCs w:val="21"/>
          <w:highlight w:val="none"/>
        </w:rPr>
        <w:t>倍支付违约金（最低</w:t>
      </w:r>
      <w:r>
        <w:rPr>
          <w:rFonts w:hint="eastAsia" w:ascii="仿宋" w:hAnsi="仿宋" w:eastAsia="仿宋" w:cs="仿宋"/>
          <w:b w:val="0"/>
          <w:bCs/>
          <w:color w:val="auto"/>
          <w:sz w:val="21"/>
          <w:szCs w:val="21"/>
          <w:highlight w:val="none"/>
          <w:lang w:val="en-US" w:eastAsia="zh-CN"/>
        </w:rPr>
        <w:t>20</w:t>
      </w:r>
      <w:r>
        <w:rPr>
          <w:rFonts w:hint="eastAsia" w:ascii="仿宋" w:hAnsi="仿宋" w:eastAsia="仿宋" w:cs="仿宋"/>
          <w:b w:val="0"/>
          <w:bCs/>
          <w:color w:val="auto"/>
          <w:sz w:val="21"/>
          <w:szCs w:val="21"/>
          <w:highlight w:val="none"/>
        </w:rPr>
        <w:t>000元）</w:t>
      </w:r>
      <w:r>
        <w:rPr>
          <w:rFonts w:hint="eastAsia" w:ascii="仿宋" w:hAnsi="仿宋" w:eastAsia="仿宋" w:cs="仿宋"/>
          <w:b w:val="0"/>
          <w:bCs/>
          <w:color w:val="auto"/>
          <w:sz w:val="21"/>
          <w:szCs w:val="21"/>
          <w:highlight w:val="none"/>
          <w:lang w:val="en-US" w:eastAsia="zh-CN"/>
        </w:rPr>
        <w:t>,</w:t>
      </w:r>
      <w:r>
        <w:rPr>
          <w:rFonts w:hint="eastAsia" w:ascii="仿宋" w:hAnsi="仿宋" w:eastAsia="仿宋" w:cs="仿宋"/>
          <w:b w:val="0"/>
          <w:bCs/>
          <w:color w:val="auto"/>
          <w:sz w:val="21"/>
          <w:szCs w:val="21"/>
          <w:highlight w:val="none"/>
        </w:rPr>
        <w:t>甲方可</w:t>
      </w:r>
      <w:r>
        <w:rPr>
          <w:rFonts w:hint="eastAsia" w:ascii="仿宋" w:hAnsi="仿宋" w:eastAsia="仿宋" w:cs="仿宋"/>
          <w:b w:val="0"/>
          <w:bCs/>
          <w:color w:val="auto"/>
          <w:sz w:val="21"/>
          <w:szCs w:val="21"/>
          <w:highlight w:val="none"/>
          <w:lang w:eastAsia="zh-CN"/>
        </w:rPr>
        <w:t>视情况</w:t>
      </w:r>
      <w:r>
        <w:rPr>
          <w:rFonts w:hint="eastAsia" w:ascii="仿宋" w:hAnsi="仿宋" w:eastAsia="仿宋" w:cs="仿宋"/>
          <w:b w:val="0"/>
          <w:bCs/>
          <w:color w:val="auto"/>
          <w:sz w:val="21"/>
          <w:szCs w:val="21"/>
          <w:highlight w:val="none"/>
        </w:rPr>
        <w:t>终止合同</w:t>
      </w: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lang w:val="en-US" w:eastAsia="zh-CN"/>
        </w:rPr>
        <w:t>乙方赔偿甲方所有损失。乙方发生本合同约定严重违约的，须承担全部违约责任，甲方可将相关违约材料报送监管部门，申请列入供应商不良行为记录，后续将影响乙方参与本单位同类采购项目。</w:t>
      </w:r>
    </w:p>
    <w:p w14:paraId="47F21203">
      <w:pPr>
        <w:pStyle w:val="4"/>
        <w:keepNext w:val="0"/>
        <w:keepLines w:val="0"/>
        <w:pageBreakBefore w:val="0"/>
        <w:shd w:val="clear"/>
        <w:kinsoku/>
        <w:wordWrap/>
        <w:overflowPunct/>
        <w:topLinePunct w:val="0"/>
        <w:bidi w:val="0"/>
        <w:adjustRightInd w:val="0"/>
        <w:snapToGrid w:val="0"/>
        <w:spacing w:line="312" w:lineRule="auto"/>
        <w:ind w:left="0" w:leftChars="0" w:firstLine="420" w:firstLineChars="200"/>
        <w:textAlignment w:val="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val="en-US" w:eastAsia="zh-CN"/>
        </w:rPr>
        <w:t>（六）乙方若出现配送不及时导致供餐异常，第一次发生时，乙方需加急配送并承担应急成本，并给予警告，对乙方加收误期赔偿金500元；第二次发生时，对乙方加收误期赔偿金1000元。第三次发生时，对乙方加收误期赔偿金3000元，甲方可视情况终止合同。</w:t>
      </w:r>
    </w:p>
    <w:p w14:paraId="62836032">
      <w:pPr>
        <w:pStyle w:val="4"/>
        <w:keepNext w:val="0"/>
        <w:keepLines w:val="0"/>
        <w:pageBreakBefore w:val="0"/>
        <w:shd w:val="clear"/>
        <w:kinsoku/>
        <w:wordWrap/>
        <w:overflowPunct/>
        <w:topLinePunct w:val="0"/>
        <w:bidi w:val="0"/>
        <w:adjustRightInd w:val="0"/>
        <w:snapToGrid w:val="0"/>
        <w:spacing w:line="312" w:lineRule="auto"/>
        <w:ind w:left="0" w:leftChars="0" w:firstLine="422" w:firstLineChars="200"/>
        <w:textAlignment w:val="auto"/>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rPr>
        <w:t>第九条  权利保证</w:t>
      </w:r>
    </w:p>
    <w:p w14:paraId="4AA9DF20">
      <w:pPr>
        <w:pStyle w:val="4"/>
        <w:keepNext w:val="0"/>
        <w:keepLines w:val="0"/>
        <w:pageBreakBefore w:val="0"/>
        <w:shd w:val="clear"/>
        <w:kinsoku/>
        <w:wordWrap/>
        <w:overflowPunct/>
        <w:topLinePunct w:val="0"/>
        <w:bidi w:val="0"/>
        <w:adjustRightInd w:val="0"/>
        <w:snapToGrid w:val="0"/>
        <w:spacing w:line="312" w:lineRule="auto"/>
        <w:ind w:left="0" w:leftChars="0"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（一）乙方保证对其出售的产品享有合法的权利。</w:t>
      </w:r>
    </w:p>
    <w:p w14:paraId="601E793E">
      <w:pPr>
        <w:pStyle w:val="4"/>
        <w:keepNext w:val="0"/>
        <w:keepLines w:val="0"/>
        <w:pageBreakBefore w:val="0"/>
        <w:shd w:val="clear"/>
        <w:kinsoku/>
        <w:wordWrap/>
        <w:overflowPunct/>
        <w:topLinePunct w:val="0"/>
        <w:bidi w:val="0"/>
        <w:adjustRightInd w:val="0"/>
        <w:snapToGrid w:val="0"/>
        <w:spacing w:line="312" w:lineRule="auto"/>
        <w:ind w:left="0" w:leftChars="0"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（二）乙方保证对其出售的产品上不存在任何未曾向甲方透露的担保物权，如抵押权、质押权、留置权。</w:t>
      </w:r>
    </w:p>
    <w:p w14:paraId="7B944870">
      <w:pPr>
        <w:pStyle w:val="4"/>
        <w:keepNext w:val="0"/>
        <w:keepLines w:val="0"/>
        <w:pageBreakBefore w:val="0"/>
        <w:shd w:val="clear"/>
        <w:kinsoku/>
        <w:wordWrap/>
        <w:overflowPunct/>
        <w:topLinePunct w:val="0"/>
        <w:bidi w:val="0"/>
        <w:adjustRightInd w:val="0"/>
        <w:snapToGrid w:val="0"/>
        <w:spacing w:line="312" w:lineRule="auto"/>
        <w:ind w:left="0" w:leftChars="0"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（三）乙方保证对其出售的产品或其任何一部分没有侵犯第三方的专利权、版权、商标权或其他权利。</w:t>
      </w:r>
    </w:p>
    <w:p w14:paraId="52A03A36">
      <w:pPr>
        <w:pStyle w:val="4"/>
        <w:keepNext w:val="0"/>
        <w:keepLines w:val="0"/>
        <w:pageBreakBefore w:val="0"/>
        <w:shd w:val="clear"/>
        <w:kinsoku/>
        <w:wordWrap/>
        <w:overflowPunct/>
        <w:topLinePunct w:val="0"/>
        <w:bidi w:val="0"/>
        <w:adjustRightInd w:val="0"/>
        <w:snapToGrid w:val="0"/>
        <w:spacing w:line="312" w:lineRule="auto"/>
        <w:ind w:left="0" w:leftChars="0"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（四）如甲方使用该产品构成上述侵权的，则由乙方承担全部责任。</w:t>
      </w:r>
    </w:p>
    <w:p w14:paraId="15570ED2">
      <w:pPr>
        <w:keepNext w:val="0"/>
        <w:keepLines w:val="0"/>
        <w:pageBreakBefore w:val="0"/>
        <w:shd w:val="clear"/>
        <w:kinsoku/>
        <w:wordWrap/>
        <w:overflowPunct/>
        <w:topLinePunct w:val="0"/>
        <w:bidi w:val="0"/>
        <w:adjustRightInd w:val="0"/>
        <w:snapToGrid w:val="0"/>
        <w:spacing w:line="312" w:lineRule="auto"/>
        <w:ind w:left="0" w:leftChars="0" w:firstLine="422" w:firstLineChars="200"/>
        <w:textAlignment w:val="auto"/>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rPr>
        <w:t>第十条  包装要求与运输方式</w:t>
      </w:r>
    </w:p>
    <w:p w14:paraId="78DFF6BA">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（一）除合同另有规定外，乙方提供的全部货物，均应按标准保护措施进行包装，并确保货物安全无损运抵甲方或甲方下属学校指定地点。</w:t>
      </w:r>
    </w:p>
    <w:p w14:paraId="0800D5BE">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（二）每一个包装箱内应附一份详细装箱单和质量合格证。</w:t>
      </w:r>
    </w:p>
    <w:p w14:paraId="43700C85">
      <w:pPr>
        <w:pStyle w:val="4"/>
        <w:keepNext w:val="0"/>
        <w:keepLines w:val="0"/>
        <w:pageBreakBefore w:val="0"/>
        <w:shd w:val="clear"/>
        <w:kinsoku/>
        <w:wordWrap/>
        <w:overflowPunct/>
        <w:topLinePunct w:val="0"/>
        <w:bidi w:val="0"/>
        <w:adjustRightInd w:val="0"/>
        <w:snapToGrid w:val="0"/>
        <w:spacing w:line="312" w:lineRule="auto"/>
        <w:ind w:left="0" w:leftChars="0"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三）固定专人、专车配送，乙方用于配送食品的车辆要有合法手续，配送车辆行驶证、司机驾驶证、配送人员健康证等手续需在教育局备案，配送货物途中发生一切事故由乙方全权承担。配送车辆、人员要有明显标志。每次配送到校，需认真做好交接手续。</w:t>
      </w:r>
    </w:p>
    <w:p w14:paraId="0E1F84E4">
      <w:pPr>
        <w:pStyle w:val="4"/>
        <w:keepNext w:val="0"/>
        <w:keepLines w:val="0"/>
        <w:pageBreakBefore w:val="0"/>
        <w:shd w:val="clear"/>
        <w:kinsoku/>
        <w:wordWrap/>
        <w:overflowPunct/>
        <w:topLinePunct w:val="0"/>
        <w:bidi w:val="0"/>
        <w:adjustRightInd w:val="0"/>
        <w:snapToGrid w:val="0"/>
        <w:spacing w:line="312" w:lineRule="auto"/>
        <w:ind w:left="0" w:leftChars="0"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（四）配送要求：乙方不应在学生来校、离校时间配送，以免造成校门口拥堵混乱。</w:t>
      </w:r>
    </w:p>
    <w:p w14:paraId="5DCDF50A">
      <w:pPr>
        <w:keepNext w:val="0"/>
        <w:keepLines w:val="0"/>
        <w:pageBreakBefore w:val="0"/>
        <w:shd w:val="clear"/>
        <w:kinsoku/>
        <w:wordWrap/>
        <w:overflowPunct/>
        <w:topLinePunct w:val="0"/>
        <w:bidi w:val="0"/>
        <w:adjustRightInd w:val="0"/>
        <w:snapToGrid w:val="0"/>
        <w:spacing w:line="312" w:lineRule="auto"/>
        <w:ind w:left="0" w:leftChars="0" w:firstLine="422" w:firstLineChars="200"/>
        <w:textAlignment w:val="auto"/>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rPr>
        <w:t>第十一条  产品验收</w:t>
      </w:r>
    </w:p>
    <w:p w14:paraId="209A59F1">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（一）货物到货后，</w:t>
      </w:r>
      <w:r>
        <w:rPr>
          <w:rFonts w:hint="eastAsia" w:ascii="仿宋" w:hAnsi="仿宋" w:eastAsia="仿宋" w:cs="仿宋"/>
          <w:bCs/>
          <w:color w:val="auto"/>
          <w:sz w:val="21"/>
          <w:szCs w:val="21"/>
          <w:highlight w:val="none"/>
        </w:rPr>
        <w:t>由甲方与乙方共同进行外观验收，</w:t>
      </w:r>
      <w:r>
        <w:rPr>
          <w:rFonts w:hint="eastAsia" w:ascii="仿宋" w:hAnsi="仿宋" w:eastAsia="仿宋" w:cs="仿宋"/>
          <w:bCs/>
          <w:color w:val="auto"/>
          <w:sz w:val="21"/>
          <w:szCs w:val="21"/>
          <w:highlight w:val="none"/>
        </w:rPr>
        <w:t>验收内容包括：外包装的完好性，产品规格、数量及产地与合同要求的一致性。</w:t>
      </w:r>
    </w:p>
    <w:p w14:paraId="6C59003D">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（二）验收依据</w:t>
      </w:r>
    </w:p>
    <w:p w14:paraId="28828523">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各使用学校根据国内相应的标准、规范及甲方根据合同文本、合同附件、招标文件、投标文件进行验收。</w:t>
      </w:r>
    </w:p>
    <w:p w14:paraId="54540423">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（三）货物（产品）验收时发现问题的处理办法：</w:t>
      </w:r>
    </w:p>
    <w:p w14:paraId="352220E4">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1.乙方提供不符合招标文件和本合同规定的货物（产品），甲方有权拒绝接收。</w:t>
      </w:r>
    </w:p>
    <w:p w14:paraId="0AF6DA45">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2.如发现所交付的货物有短装、损坏、变质或其他不符合标准及本合同规定之情形者，甲方有权要求更换货物，乙方要无条件第一时间进行更换配送。由此产生的时间延误与有关费用由乙方承担。</w:t>
      </w:r>
    </w:p>
    <w:p w14:paraId="75C4B89E">
      <w:pPr>
        <w:keepNext w:val="0"/>
        <w:keepLines w:val="0"/>
        <w:pageBreakBefore w:val="0"/>
        <w:shd w:val="clear"/>
        <w:kinsoku/>
        <w:wordWrap/>
        <w:overflowPunct/>
        <w:topLinePunct w:val="0"/>
        <w:bidi w:val="0"/>
        <w:adjustRightInd w:val="0"/>
        <w:snapToGrid w:val="0"/>
        <w:spacing w:line="312" w:lineRule="auto"/>
        <w:ind w:left="0" w:leftChars="0" w:firstLine="422" w:firstLineChars="200"/>
        <w:textAlignment w:val="auto"/>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rPr>
        <w:t>第十二条  免费技术培训</w:t>
      </w:r>
    </w:p>
    <w:p w14:paraId="6992FB53">
      <w:pPr>
        <w:keepNext w:val="0"/>
        <w:keepLines w:val="0"/>
        <w:pageBreakBefore w:val="0"/>
        <w:shd w:val="clear"/>
        <w:kinsoku/>
        <w:wordWrap/>
        <w:overflowPunct/>
        <w:topLinePunct w:val="0"/>
        <w:bidi w:val="0"/>
        <w:adjustRightInd w:val="0"/>
        <w:snapToGrid w:val="0"/>
        <w:spacing w:line="312"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（一）培训内容：膳食营养、食品安全等知识。</w:t>
      </w:r>
    </w:p>
    <w:p w14:paraId="5277F9C9">
      <w:pPr>
        <w:keepNext w:val="0"/>
        <w:keepLines w:val="0"/>
        <w:pageBreakBefore w:val="0"/>
        <w:shd w:val="clear"/>
        <w:kinsoku/>
        <w:wordWrap/>
        <w:overflowPunct/>
        <w:topLinePunct w:val="0"/>
        <w:bidi w:val="0"/>
        <w:adjustRightInd w:val="0"/>
        <w:snapToGrid w:val="0"/>
        <w:spacing w:line="312" w:lineRule="auto"/>
        <w:ind w:left="0" w:leftChars="0" w:firstLine="420" w:firstLineChars="200"/>
        <w:textAlignment w:val="auto"/>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t>（二）乙方必须按照甲方的要求组织人员，采用指定地点集中培训和各项目学校分散培训相结合的方式。</w:t>
      </w:r>
    </w:p>
    <w:p w14:paraId="31F26FAF">
      <w:pPr>
        <w:keepNext w:val="0"/>
        <w:keepLines w:val="0"/>
        <w:pageBreakBefore w:val="0"/>
        <w:shd w:val="clear"/>
        <w:kinsoku/>
        <w:wordWrap/>
        <w:overflowPunct/>
        <w:topLinePunct w:val="0"/>
        <w:bidi w:val="0"/>
        <w:adjustRightInd w:val="0"/>
        <w:snapToGrid w:val="0"/>
        <w:spacing w:line="312"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（三）培训地点：甲方指定地点或各项目学校。</w:t>
      </w:r>
    </w:p>
    <w:p w14:paraId="22E05335">
      <w:pPr>
        <w:pStyle w:val="4"/>
        <w:keepNext w:val="0"/>
        <w:keepLines w:val="0"/>
        <w:pageBreakBefore w:val="0"/>
        <w:shd w:val="clear"/>
        <w:kinsoku/>
        <w:wordWrap/>
        <w:overflowPunct/>
        <w:topLinePunct w:val="0"/>
        <w:bidi w:val="0"/>
        <w:adjustRightInd w:val="0"/>
        <w:snapToGrid w:val="0"/>
        <w:spacing w:line="312" w:lineRule="auto"/>
        <w:ind w:left="0" w:leftChars="0" w:firstLine="422" w:firstLineChars="200"/>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第十三条  售后服务及应急处理</w:t>
      </w:r>
    </w:p>
    <w:p w14:paraId="2CF4E603">
      <w:pPr>
        <w:pStyle w:val="4"/>
        <w:keepNext w:val="0"/>
        <w:keepLines w:val="0"/>
        <w:pageBreakBefore w:val="0"/>
        <w:shd w:val="clear"/>
        <w:kinsoku/>
        <w:wordWrap/>
        <w:overflowPunct/>
        <w:topLinePunct w:val="0"/>
        <w:bidi w:val="0"/>
        <w:adjustRightInd w:val="0"/>
        <w:snapToGrid w:val="0"/>
        <w:spacing w:line="312"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（一）乙方应按照国家有关法律法规和“三包”规定以及招标文件要求和投标文件的“服务承诺”提供服务。</w:t>
      </w:r>
    </w:p>
    <w:p w14:paraId="55A95BE0">
      <w:pPr>
        <w:pStyle w:val="4"/>
        <w:keepNext w:val="0"/>
        <w:keepLines w:val="0"/>
        <w:pageBreakBefore w:val="0"/>
        <w:shd w:val="clear"/>
        <w:kinsoku/>
        <w:wordWrap/>
        <w:overflowPunct/>
        <w:topLinePunct w:val="0"/>
        <w:bidi w:val="0"/>
        <w:adjustRightInd w:val="0"/>
        <w:snapToGrid w:val="0"/>
        <w:spacing w:line="312"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紧急情况处理：因乙方提供食材问题，导致学生食用后出现头晕、呕吐、腹痛等不适时，应立即送到校医务室或就近医院检查治疗，并立即通知乙方，乙方接到通知后应立即前往现场，进行应急处置，由双方将食材样品送交卫生、质检部门进行检验，因乙方产品质量产生的所有责任全部由乙方承担。</w:t>
      </w:r>
    </w:p>
    <w:p w14:paraId="32EB0653">
      <w:pPr>
        <w:pStyle w:val="4"/>
        <w:keepNext w:val="0"/>
        <w:keepLines w:val="0"/>
        <w:pageBreakBefore w:val="0"/>
        <w:shd w:val="clear"/>
        <w:kinsoku/>
        <w:wordWrap/>
        <w:overflowPunct/>
        <w:topLinePunct w:val="0"/>
        <w:bidi w:val="0"/>
        <w:adjustRightInd w:val="0"/>
        <w:snapToGrid w:val="0"/>
        <w:spacing w:line="312"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（三）产品坏包处理：甲方所辖学校若发现产品出现胀包、破损、变质等问题应立即制止学生食用，并及时通知乙方对产品进行退换，乙方要实行无条件一比一退换，并且乙方承担由此造成的全部损失。</w:t>
      </w:r>
    </w:p>
    <w:p w14:paraId="204C4B98">
      <w:pPr>
        <w:keepNext w:val="0"/>
        <w:keepLines w:val="0"/>
        <w:pageBreakBefore w:val="0"/>
        <w:shd w:val="clear"/>
        <w:kinsoku/>
        <w:wordWrap/>
        <w:overflowPunct/>
        <w:topLinePunct w:val="0"/>
        <w:bidi w:val="0"/>
        <w:adjustRightInd w:val="0"/>
        <w:snapToGrid w:val="0"/>
        <w:spacing w:line="312" w:lineRule="auto"/>
        <w:ind w:left="0" w:leftChars="0" w:firstLine="422" w:firstLineChars="200"/>
        <w:textAlignment w:val="auto"/>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rPr>
        <w:t>第十四条  其它事项</w:t>
      </w:r>
    </w:p>
    <w:p w14:paraId="5B63C91B">
      <w:pPr>
        <w:keepNext w:val="0"/>
        <w:keepLines w:val="0"/>
        <w:pageBreakBefore w:val="0"/>
        <w:shd w:val="clear"/>
        <w:kinsoku/>
        <w:wordWrap/>
        <w:overflowPunct/>
        <w:topLinePunct w:val="0"/>
        <w:bidi w:val="0"/>
        <w:adjustRightInd w:val="0"/>
        <w:snapToGrid w:val="0"/>
        <w:spacing w:line="312" w:lineRule="auto"/>
        <w:ind w:left="0" w:leftChars="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（一）乙方不得将项目转让、分包给其它单位或个人。</w:t>
      </w:r>
    </w:p>
    <w:p w14:paraId="648E6BA4">
      <w:pPr>
        <w:keepNext w:val="0"/>
        <w:keepLines w:val="0"/>
        <w:pageBreakBefore w:val="0"/>
        <w:shd w:val="clear"/>
        <w:kinsoku/>
        <w:wordWrap/>
        <w:overflowPunct/>
        <w:topLinePunct w:val="0"/>
        <w:bidi w:val="0"/>
        <w:adjustRightInd w:val="0"/>
        <w:snapToGrid w:val="0"/>
        <w:spacing w:line="312" w:lineRule="auto"/>
        <w:ind w:left="0" w:leftChars="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（二）乙方的投标文件和承诺等内容将列入合同。</w:t>
      </w:r>
    </w:p>
    <w:p w14:paraId="1F8AC5C7">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422" w:firstLineChars="200"/>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第十五条  违约责任</w:t>
      </w:r>
    </w:p>
    <w:p w14:paraId="3845E6E7">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63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（一）按《中华人民共和国民法典》中的相关条款执行。</w:t>
      </w:r>
    </w:p>
    <w:p w14:paraId="646EB7B5">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63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二）按合同要求提供服务或服务质量不能满足采购技术要求，乙方必须无条件提高技术，完善服务质量，否则，甲方有权会同监督机构、采购代理机构终止合同并对乙方违约行为进行追究，同时按政府采购供应商管理办法进行相应的处罚。</w:t>
      </w:r>
    </w:p>
    <w:p w14:paraId="54C40412">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630"/>
        <w:textAlignment w:val="auto"/>
        <w:rPr>
          <w:rFonts w:hint="eastAsia" w:ascii="仿宋" w:hAnsi="仿宋" w:eastAsia="仿宋" w:cs="仿宋"/>
          <w:color w:val="auto"/>
          <w:sz w:val="21"/>
          <w:szCs w:val="21"/>
          <w:highlight w:val="none"/>
        </w:rPr>
      </w:pPr>
      <w:r>
        <w:rPr>
          <w:rFonts w:hint="eastAsia" w:ascii="仿宋" w:hAnsi="仿宋" w:eastAsia="仿宋" w:cs="仿宋"/>
          <w:bCs/>
          <w:color w:val="auto"/>
          <w:sz w:val="21"/>
          <w:szCs w:val="21"/>
          <w:highlight w:val="none"/>
        </w:rPr>
        <w:t>（三）</w:t>
      </w:r>
      <w:r>
        <w:rPr>
          <w:rFonts w:hint="eastAsia" w:ascii="仿宋" w:hAnsi="仿宋" w:eastAsia="仿宋" w:cs="仿宋"/>
          <w:color w:val="auto"/>
          <w:sz w:val="21"/>
          <w:szCs w:val="21"/>
          <w:highlight w:val="none"/>
        </w:rPr>
        <w:t>如果任何一方当事人受到不能预见、不能避免且不能克服的外部环境因素或上级政策变化导致的不可抗力事件的影响而无法履行或无法完整履行合同条款的需提前通知对方。</w:t>
      </w:r>
    </w:p>
    <w:p w14:paraId="1318A9DD">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63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四）乙方应确保所供产品符合要求，在产品保质期内，若因产品质量瑕疵造成的甲方或者第三方即食者损害，乙方应承担全部责任和损失赔偿，损失包括但不限于当日事故项目学校订单总金额5%的违约金、调查费、鉴定费、医疗费、律师费、诉讼费、保全费等直接损失、间接损失，该赔偿不足以满足所有损失的，乙方应对其他损失继续承担赔偿责任。若发生食品安全事故造成的一切社会影响，甲方有权终止合同，并追究乙方法律责任。</w:t>
      </w:r>
    </w:p>
    <w:p w14:paraId="22ADC92B">
      <w:pPr>
        <w:keepNext w:val="0"/>
        <w:keepLines w:val="0"/>
        <w:pageBreakBefore w:val="0"/>
        <w:widowControl w:val="0"/>
        <w:numPr>
          <w:ilvl w:val="0"/>
          <w:numId w:val="0"/>
        </w:numPr>
        <w:shd w:val="clear"/>
        <w:kinsoku/>
        <w:wordWrap/>
        <w:overflowPunct/>
        <w:topLinePunct w:val="0"/>
        <w:bidi w:val="0"/>
        <w:adjustRightInd w:val="0"/>
        <w:snapToGrid w:val="0"/>
        <w:spacing w:line="312"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（五）乙方若引发食品安全事故需承担全部损失，同时列入黑名单并通报监管部门。</w:t>
      </w:r>
    </w:p>
    <w:p w14:paraId="5B4FBCF1">
      <w:pPr>
        <w:keepNext w:val="0"/>
        <w:keepLines w:val="0"/>
        <w:pageBreakBefore w:val="0"/>
        <w:widowControl/>
        <w:shd w:val="clear"/>
        <w:kinsoku/>
        <w:wordWrap/>
        <w:overflowPunct/>
        <w:topLinePunct w:val="0"/>
        <w:autoSpaceDE/>
        <w:autoSpaceDN/>
        <w:bidi w:val="0"/>
        <w:adjustRightInd w:val="0"/>
        <w:snapToGrid w:val="0"/>
        <w:spacing w:line="312" w:lineRule="auto"/>
        <w:ind w:left="0" w:leftChars="0" w:firstLine="422" w:firstLineChars="200"/>
        <w:jc w:val="left"/>
        <w:textAlignment w:val="auto"/>
        <w:rPr>
          <w:rFonts w:hint="eastAsia" w:ascii="仿宋" w:hAnsi="仿宋" w:eastAsia="仿宋" w:cs="仿宋"/>
          <w:b/>
          <w:color w:val="auto"/>
          <w:sz w:val="21"/>
          <w:szCs w:val="21"/>
          <w:highlight w:val="none"/>
          <w:lang w:bidi="ar"/>
        </w:rPr>
      </w:pPr>
      <w:r>
        <w:rPr>
          <w:rFonts w:hint="eastAsia" w:ascii="仿宋" w:hAnsi="仿宋" w:eastAsia="仿宋" w:cs="仿宋"/>
          <w:b/>
          <w:color w:val="auto"/>
          <w:sz w:val="21"/>
          <w:szCs w:val="21"/>
          <w:highlight w:val="none"/>
          <w:lang w:bidi="ar"/>
        </w:rPr>
        <w:t>第十</w:t>
      </w:r>
      <w:r>
        <w:rPr>
          <w:rFonts w:hint="eastAsia" w:ascii="仿宋" w:hAnsi="仿宋" w:eastAsia="仿宋" w:cs="仿宋"/>
          <w:b/>
          <w:color w:val="auto"/>
          <w:sz w:val="21"/>
          <w:szCs w:val="21"/>
          <w:highlight w:val="none"/>
          <w:lang w:val="en-US" w:eastAsia="zh-CN" w:bidi="ar"/>
        </w:rPr>
        <w:t>六</w:t>
      </w:r>
      <w:r>
        <w:rPr>
          <w:rFonts w:hint="eastAsia" w:ascii="仿宋" w:hAnsi="仿宋" w:eastAsia="仿宋" w:cs="仿宋"/>
          <w:b/>
          <w:color w:val="auto"/>
          <w:sz w:val="21"/>
          <w:szCs w:val="21"/>
          <w:highlight w:val="none"/>
          <w:lang w:bidi="ar"/>
        </w:rPr>
        <w:t>条  监督和管理</w:t>
      </w:r>
    </w:p>
    <w:p w14:paraId="7B9A6501">
      <w:pPr>
        <w:keepNext w:val="0"/>
        <w:keepLines w:val="0"/>
        <w:pageBreakBefore w:val="0"/>
        <w:widowControl/>
        <w:shd w:val="clear"/>
        <w:kinsoku/>
        <w:wordWrap/>
        <w:overflowPunct/>
        <w:topLinePunct w:val="0"/>
        <w:autoSpaceDE/>
        <w:autoSpaceDN/>
        <w:bidi w:val="0"/>
        <w:adjustRightInd w:val="0"/>
        <w:snapToGrid w:val="0"/>
        <w:spacing w:line="312" w:lineRule="auto"/>
        <w:ind w:left="0" w:leftChars="0" w:firstLine="420" w:firstLineChars="200"/>
        <w:jc w:val="left"/>
        <w:textAlignment w:val="auto"/>
        <w:rPr>
          <w:rFonts w:hint="eastAsia" w:ascii="仿宋" w:hAnsi="仿宋" w:eastAsia="仿宋" w:cs="仿宋"/>
          <w:bCs/>
          <w:color w:val="auto"/>
          <w:sz w:val="21"/>
          <w:szCs w:val="21"/>
          <w:highlight w:val="none"/>
          <w:lang w:bidi="ar"/>
        </w:rPr>
      </w:pPr>
      <w:r>
        <w:rPr>
          <w:rFonts w:hint="eastAsia" w:ascii="仿宋" w:hAnsi="仿宋" w:eastAsia="仿宋" w:cs="仿宋"/>
          <w:bCs/>
          <w:color w:val="auto"/>
          <w:sz w:val="21"/>
          <w:szCs w:val="21"/>
          <w:highlight w:val="none"/>
          <w:lang w:eastAsia="zh-CN" w:bidi="ar"/>
        </w:rPr>
        <w:t>（</w:t>
      </w:r>
      <w:r>
        <w:rPr>
          <w:rFonts w:hint="eastAsia" w:ascii="仿宋" w:hAnsi="仿宋" w:eastAsia="仿宋" w:cs="仿宋"/>
          <w:bCs/>
          <w:color w:val="auto"/>
          <w:sz w:val="21"/>
          <w:szCs w:val="21"/>
          <w:highlight w:val="none"/>
          <w:lang w:val="en-US" w:eastAsia="zh-CN" w:bidi="ar"/>
        </w:rPr>
        <w:t>一</w:t>
      </w:r>
      <w:r>
        <w:rPr>
          <w:rFonts w:hint="eastAsia" w:ascii="仿宋" w:hAnsi="仿宋" w:eastAsia="仿宋" w:cs="仿宋"/>
          <w:bCs/>
          <w:color w:val="auto"/>
          <w:sz w:val="21"/>
          <w:szCs w:val="21"/>
          <w:highlight w:val="none"/>
          <w:lang w:eastAsia="zh-CN" w:bidi="ar"/>
        </w:rPr>
        <w:t>）</w:t>
      </w:r>
      <w:r>
        <w:rPr>
          <w:rFonts w:hint="eastAsia" w:ascii="仿宋" w:hAnsi="仿宋" w:eastAsia="仿宋" w:cs="仿宋"/>
          <w:bCs/>
          <w:color w:val="auto"/>
          <w:sz w:val="21"/>
          <w:szCs w:val="21"/>
          <w:highlight w:val="none"/>
          <w:lang w:bidi="ar"/>
        </w:rPr>
        <w:t>政府采购合同履行中，采购人需追加与合同标的相同的货物、工程或者服务的，在不改变合同其他条款的前提下，可以与供应商协商签订补充合同，但所有补充合同的采购金额不得超过原合同采购金额的10%。</w:t>
      </w:r>
    </w:p>
    <w:p w14:paraId="3CC88124">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bCs/>
          <w:color w:val="auto"/>
          <w:sz w:val="21"/>
          <w:szCs w:val="21"/>
          <w:highlight w:val="none"/>
          <w:lang w:eastAsia="zh-CN" w:bidi="ar"/>
        </w:rPr>
        <w:t>（</w:t>
      </w:r>
      <w:r>
        <w:rPr>
          <w:rFonts w:hint="eastAsia" w:ascii="仿宋" w:hAnsi="仿宋" w:eastAsia="仿宋" w:cs="仿宋"/>
          <w:bCs/>
          <w:color w:val="auto"/>
          <w:sz w:val="21"/>
          <w:szCs w:val="21"/>
          <w:highlight w:val="none"/>
          <w:lang w:val="en-US" w:eastAsia="zh-CN" w:bidi="ar"/>
        </w:rPr>
        <w:t>二</w:t>
      </w:r>
      <w:r>
        <w:rPr>
          <w:rFonts w:hint="eastAsia" w:ascii="仿宋" w:hAnsi="仿宋" w:eastAsia="仿宋" w:cs="仿宋"/>
          <w:bCs/>
          <w:color w:val="auto"/>
          <w:sz w:val="21"/>
          <w:szCs w:val="21"/>
          <w:highlight w:val="none"/>
          <w:lang w:eastAsia="zh-CN" w:bidi="ar"/>
        </w:rPr>
        <w:t>）</w:t>
      </w:r>
      <w:r>
        <w:rPr>
          <w:rFonts w:hint="eastAsia" w:ascii="仿宋" w:hAnsi="仿宋" w:eastAsia="仿宋" w:cs="仿宋"/>
          <w:bCs/>
          <w:color w:val="auto"/>
          <w:sz w:val="21"/>
          <w:szCs w:val="21"/>
          <w:highlight w:val="none"/>
          <w:lang w:bidi="ar"/>
        </w:rPr>
        <w:t>甲乙双方均应自觉配合有关监督管理部门对</w:t>
      </w:r>
      <w:r>
        <w:rPr>
          <w:rFonts w:hint="eastAsia" w:ascii="仿宋" w:hAnsi="仿宋" w:eastAsia="仿宋" w:cs="仿宋"/>
          <w:bCs/>
          <w:color w:val="auto"/>
          <w:sz w:val="21"/>
          <w:szCs w:val="21"/>
          <w:highlight w:val="none"/>
          <w:lang w:bidi="ar"/>
        </w:rPr>
        <w:fldChar w:fldCharType="begin"/>
      </w:r>
      <w:r>
        <w:rPr>
          <w:rFonts w:hint="eastAsia" w:ascii="仿宋" w:hAnsi="仿宋" w:eastAsia="仿宋" w:cs="仿宋"/>
          <w:bCs/>
          <w:color w:val="auto"/>
          <w:sz w:val="21"/>
          <w:szCs w:val="21"/>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auto"/>
          <w:sz w:val="21"/>
          <w:szCs w:val="21"/>
          <w:highlight w:val="none"/>
          <w:lang w:bidi="ar"/>
        </w:rPr>
        <w:fldChar w:fldCharType="separate"/>
      </w:r>
      <w:r>
        <w:rPr>
          <w:rFonts w:hint="eastAsia" w:ascii="仿宋" w:hAnsi="仿宋" w:eastAsia="仿宋" w:cs="仿宋"/>
          <w:bCs/>
          <w:color w:val="auto"/>
          <w:sz w:val="21"/>
          <w:szCs w:val="21"/>
          <w:highlight w:val="none"/>
          <w:lang w:bidi="ar"/>
        </w:rPr>
        <w:t>合同履行</w:t>
      </w:r>
      <w:r>
        <w:rPr>
          <w:rFonts w:hint="eastAsia" w:ascii="仿宋" w:hAnsi="仿宋" w:eastAsia="仿宋" w:cs="仿宋"/>
          <w:bCs/>
          <w:color w:val="auto"/>
          <w:sz w:val="21"/>
          <w:szCs w:val="21"/>
          <w:highlight w:val="none"/>
          <w:lang w:bidi="ar"/>
        </w:rPr>
        <w:fldChar w:fldCharType="end"/>
      </w:r>
      <w:r>
        <w:rPr>
          <w:rFonts w:hint="eastAsia" w:ascii="仿宋" w:hAnsi="仿宋" w:eastAsia="仿宋" w:cs="仿宋"/>
          <w:bCs/>
          <w:color w:val="auto"/>
          <w:sz w:val="21"/>
          <w:szCs w:val="21"/>
          <w:highlight w:val="none"/>
          <w:lang w:bidi="ar"/>
        </w:rPr>
        <w:t>情况的监督检查，如实反映情况，提供有关资料；否则，将对有关单位、当事人按照有关规定予以处罚。</w:t>
      </w:r>
    </w:p>
    <w:p w14:paraId="01E653EC">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422" w:firstLineChars="200"/>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第十</w:t>
      </w:r>
      <w:r>
        <w:rPr>
          <w:rFonts w:hint="eastAsia" w:ascii="仿宋" w:hAnsi="仿宋" w:eastAsia="仿宋" w:cs="仿宋"/>
          <w:b/>
          <w:bCs/>
          <w:color w:val="auto"/>
          <w:sz w:val="21"/>
          <w:szCs w:val="21"/>
          <w:highlight w:val="none"/>
          <w:lang w:eastAsia="zh-CN"/>
        </w:rPr>
        <w:t>七</w:t>
      </w:r>
      <w:r>
        <w:rPr>
          <w:rFonts w:hint="eastAsia" w:ascii="仿宋" w:hAnsi="仿宋" w:eastAsia="仿宋" w:cs="仿宋"/>
          <w:b/>
          <w:bCs/>
          <w:color w:val="auto"/>
          <w:sz w:val="21"/>
          <w:szCs w:val="21"/>
          <w:highlight w:val="none"/>
        </w:rPr>
        <w:t>条  合同争议解决的方式</w:t>
      </w:r>
    </w:p>
    <w:p w14:paraId="1EE586D2">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本合同在履行过程中发生的争议，由甲、乙双方当事人协商解决，协商不成的按下列第</w:t>
      </w:r>
      <w:r>
        <w:rPr>
          <w:rFonts w:hint="eastAsia" w:ascii="仿宋" w:hAnsi="仿宋" w:eastAsia="仿宋" w:cs="仿宋"/>
          <w:bCs/>
          <w:color w:val="auto"/>
          <w:sz w:val="21"/>
          <w:szCs w:val="21"/>
          <w:highlight w:val="none"/>
          <w:u w:val="single"/>
        </w:rPr>
        <w:t>（二）</w:t>
      </w:r>
      <w:r>
        <w:rPr>
          <w:rFonts w:hint="eastAsia" w:ascii="仿宋" w:hAnsi="仿宋" w:eastAsia="仿宋" w:cs="仿宋"/>
          <w:bCs/>
          <w:color w:val="auto"/>
          <w:sz w:val="21"/>
          <w:szCs w:val="21"/>
          <w:highlight w:val="none"/>
        </w:rPr>
        <w:t>种方式解决：</w:t>
      </w:r>
    </w:p>
    <w:p w14:paraId="6871737C">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（一）提交西安仲裁委员会仲裁；</w:t>
      </w:r>
    </w:p>
    <w:p w14:paraId="7EA3378F">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（二）依法向甲方所在地人民法院起诉。</w:t>
      </w:r>
    </w:p>
    <w:p w14:paraId="5FFA3A04">
      <w:pPr>
        <w:pStyle w:val="4"/>
        <w:keepNext w:val="0"/>
        <w:keepLines w:val="0"/>
        <w:pageBreakBefore w:val="0"/>
        <w:shd w:val="clear"/>
        <w:kinsoku/>
        <w:wordWrap/>
        <w:overflowPunct/>
        <w:topLinePunct w:val="0"/>
        <w:bidi w:val="0"/>
        <w:adjustRightInd w:val="0"/>
        <w:snapToGrid w:val="0"/>
        <w:spacing w:line="312" w:lineRule="auto"/>
        <w:ind w:left="0" w:leftChars="0" w:firstLine="422" w:firstLineChars="200"/>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第十</w:t>
      </w:r>
      <w:r>
        <w:rPr>
          <w:rFonts w:hint="eastAsia" w:ascii="仿宋" w:hAnsi="仿宋" w:eastAsia="仿宋" w:cs="仿宋"/>
          <w:b/>
          <w:bCs/>
          <w:color w:val="auto"/>
          <w:sz w:val="21"/>
          <w:szCs w:val="21"/>
          <w:highlight w:val="none"/>
          <w:lang w:eastAsia="zh-CN"/>
        </w:rPr>
        <w:t>八</w:t>
      </w:r>
      <w:r>
        <w:rPr>
          <w:rFonts w:hint="eastAsia" w:ascii="仿宋" w:hAnsi="仿宋" w:eastAsia="仿宋" w:cs="仿宋"/>
          <w:b/>
          <w:bCs/>
          <w:color w:val="auto"/>
          <w:sz w:val="21"/>
          <w:szCs w:val="21"/>
          <w:highlight w:val="none"/>
        </w:rPr>
        <w:t>条  合同文件</w:t>
      </w:r>
    </w:p>
    <w:p w14:paraId="021FCA7A">
      <w:pPr>
        <w:pStyle w:val="4"/>
        <w:keepNext w:val="0"/>
        <w:keepLines w:val="0"/>
        <w:pageBreakBefore w:val="0"/>
        <w:shd w:val="clear"/>
        <w:kinsoku/>
        <w:wordWrap/>
        <w:overflowPunct/>
        <w:topLinePunct w:val="0"/>
        <w:bidi w:val="0"/>
        <w:adjustRightInd w:val="0"/>
        <w:snapToGrid w:val="0"/>
        <w:spacing w:line="312"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详细技术说明及其他有关合同项目的特定信息由合同附件予以说明，下列文件构成本合同的组成部分，应该认为是一个整体，彼此相互解释，相互补充。组成合同的多个文件的优先支配地位的次序如下：</w:t>
      </w:r>
    </w:p>
    <w:p w14:paraId="11DD0451">
      <w:pPr>
        <w:pStyle w:val="4"/>
        <w:keepNext w:val="0"/>
        <w:keepLines w:val="0"/>
        <w:pageBreakBefore w:val="0"/>
        <w:shd w:val="clear"/>
        <w:kinsoku/>
        <w:wordWrap/>
        <w:overflowPunct/>
        <w:topLinePunct w:val="0"/>
        <w:bidi w:val="0"/>
        <w:adjustRightInd w:val="0"/>
        <w:snapToGrid w:val="0"/>
        <w:spacing w:line="312"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（一）本合同书</w:t>
      </w:r>
    </w:p>
    <w:p w14:paraId="47D50F2B">
      <w:pPr>
        <w:pStyle w:val="4"/>
        <w:keepNext w:val="0"/>
        <w:keepLines w:val="0"/>
        <w:pageBreakBefore w:val="0"/>
        <w:shd w:val="clear"/>
        <w:kinsoku/>
        <w:wordWrap/>
        <w:overflowPunct/>
        <w:topLinePunct w:val="0"/>
        <w:bidi w:val="0"/>
        <w:adjustRightInd w:val="0"/>
        <w:snapToGrid w:val="0"/>
        <w:spacing w:line="312"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（二）中标通知书</w:t>
      </w:r>
    </w:p>
    <w:p w14:paraId="65DBC5AB">
      <w:pPr>
        <w:pStyle w:val="4"/>
        <w:keepNext w:val="0"/>
        <w:keepLines w:val="0"/>
        <w:pageBreakBefore w:val="0"/>
        <w:shd w:val="clear"/>
        <w:kinsoku/>
        <w:wordWrap/>
        <w:overflowPunct/>
        <w:topLinePunct w:val="0"/>
        <w:bidi w:val="0"/>
        <w:adjustRightInd w:val="0"/>
        <w:snapToGrid w:val="0"/>
        <w:spacing w:line="312"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（三）协议</w:t>
      </w:r>
    </w:p>
    <w:p w14:paraId="2AFEF2BF">
      <w:pPr>
        <w:pStyle w:val="4"/>
        <w:keepNext w:val="0"/>
        <w:keepLines w:val="0"/>
        <w:pageBreakBefore w:val="0"/>
        <w:shd w:val="clear"/>
        <w:kinsoku/>
        <w:wordWrap/>
        <w:overflowPunct/>
        <w:topLinePunct w:val="0"/>
        <w:bidi w:val="0"/>
        <w:adjustRightInd w:val="0"/>
        <w:snapToGrid w:val="0"/>
        <w:spacing w:line="312"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（四）招标文件（含澄清文件）</w:t>
      </w:r>
    </w:p>
    <w:p w14:paraId="4CD92A0C">
      <w:pPr>
        <w:pStyle w:val="4"/>
        <w:keepNext w:val="0"/>
        <w:keepLines w:val="0"/>
        <w:pageBreakBefore w:val="0"/>
        <w:shd w:val="clear"/>
        <w:kinsoku/>
        <w:wordWrap/>
        <w:overflowPunct/>
        <w:topLinePunct w:val="0"/>
        <w:bidi w:val="0"/>
        <w:adjustRightInd w:val="0"/>
        <w:snapToGrid w:val="0"/>
        <w:spacing w:line="312"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（五）投标文件</w:t>
      </w:r>
    </w:p>
    <w:p w14:paraId="0153FB9B">
      <w:pPr>
        <w:keepNext w:val="0"/>
        <w:keepLines w:val="0"/>
        <w:pageBreakBefore w:val="0"/>
        <w:shd w:val="clear"/>
        <w:kinsoku/>
        <w:wordWrap/>
        <w:overflowPunct/>
        <w:topLinePunct w:val="0"/>
        <w:autoSpaceDE w:val="0"/>
        <w:autoSpaceDN w:val="0"/>
        <w:bidi w:val="0"/>
        <w:adjustRightInd w:val="0"/>
        <w:snapToGrid w:val="0"/>
        <w:spacing w:line="312" w:lineRule="auto"/>
        <w:ind w:left="0" w:leftChars="0" w:firstLine="422" w:firstLineChars="200"/>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第十</w:t>
      </w:r>
      <w:r>
        <w:rPr>
          <w:rFonts w:hint="eastAsia" w:ascii="仿宋" w:hAnsi="仿宋" w:eastAsia="仿宋" w:cs="仿宋"/>
          <w:b/>
          <w:bCs/>
          <w:color w:val="auto"/>
          <w:sz w:val="21"/>
          <w:szCs w:val="21"/>
          <w:highlight w:val="none"/>
          <w:lang w:eastAsia="zh-CN"/>
        </w:rPr>
        <w:t>九</w:t>
      </w:r>
      <w:r>
        <w:rPr>
          <w:rFonts w:hint="eastAsia" w:ascii="仿宋" w:hAnsi="仿宋" w:eastAsia="仿宋" w:cs="仿宋"/>
          <w:b/>
          <w:bCs/>
          <w:color w:val="auto"/>
          <w:sz w:val="21"/>
          <w:szCs w:val="21"/>
          <w:highlight w:val="none"/>
        </w:rPr>
        <w:t>条  合同生效</w:t>
      </w:r>
    </w:p>
    <w:p w14:paraId="22942970">
      <w:pPr>
        <w:pStyle w:val="4"/>
        <w:keepNext w:val="0"/>
        <w:keepLines w:val="0"/>
        <w:pageBreakBefore w:val="0"/>
        <w:shd w:val="clear"/>
        <w:kinsoku/>
        <w:wordWrap/>
        <w:overflowPunct/>
        <w:topLinePunct w:val="0"/>
        <w:bidi w:val="0"/>
        <w:adjustRightInd w:val="0"/>
        <w:snapToGrid w:val="0"/>
        <w:spacing w:line="312"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（一）本合同须经甲、乙双方的法定代表人（授权代理人）在合同书上签字并加盖本单位公章后正式生效。</w:t>
      </w:r>
    </w:p>
    <w:p w14:paraId="602E9FDD">
      <w:pPr>
        <w:pStyle w:val="4"/>
        <w:keepNext w:val="0"/>
        <w:keepLines w:val="0"/>
        <w:pageBreakBefore w:val="0"/>
        <w:shd w:val="clear"/>
        <w:kinsoku/>
        <w:wordWrap/>
        <w:overflowPunct/>
        <w:topLinePunct w:val="0"/>
        <w:bidi w:val="0"/>
        <w:adjustRightInd w:val="0"/>
        <w:snapToGrid w:val="0"/>
        <w:spacing w:line="312"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（二）合同生效后，甲、乙双方须严格执行本合同条款的规定，全面履行合同，违者按《中华人民共和国民法典》的有关规定承担相应责任。</w:t>
      </w:r>
    </w:p>
    <w:p w14:paraId="1A911DDE">
      <w:pPr>
        <w:pStyle w:val="4"/>
        <w:keepNext w:val="0"/>
        <w:keepLines w:val="0"/>
        <w:pageBreakBefore w:val="0"/>
        <w:shd w:val="clear"/>
        <w:kinsoku/>
        <w:wordWrap/>
        <w:overflowPunct/>
        <w:topLinePunct w:val="0"/>
        <w:bidi w:val="0"/>
        <w:adjustRightInd w:val="0"/>
        <w:snapToGrid w:val="0"/>
        <w:spacing w:line="312"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（三）本合同正本一式二份，副本一式四份，均以中文书写。甲方执正本一份、副本二份；乙方执正本一份，副本一份；政府采购管理部门备案副本一份，具有同等的法律效力。</w:t>
      </w:r>
    </w:p>
    <w:p w14:paraId="50382860">
      <w:pPr>
        <w:pStyle w:val="4"/>
        <w:keepNext w:val="0"/>
        <w:keepLines w:val="0"/>
        <w:pageBreakBefore w:val="0"/>
        <w:shd w:val="clear"/>
        <w:kinsoku/>
        <w:wordWrap/>
        <w:overflowPunct/>
        <w:topLinePunct w:val="0"/>
        <w:bidi w:val="0"/>
        <w:adjustRightInd w:val="0"/>
        <w:snapToGrid w:val="0"/>
        <w:spacing w:line="312"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（四）本合同如有未尽事宜，甲、乙双方协商解决。</w:t>
      </w:r>
    </w:p>
    <w:p w14:paraId="703A7918">
      <w:pPr>
        <w:keepNext w:val="0"/>
        <w:keepLines w:val="0"/>
        <w:pageBreakBefore w:val="0"/>
        <w:shd w:val="clear"/>
        <w:kinsoku/>
        <w:wordWrap/>
        <w:overflowPunct/>
        <w:topLinePunct w:val="0"/>
        <w:bidi w:val="0"/>
        <w:spacing w:line="560" w:lineRule="exact"/>
        <w:textAlignment w:val="auto"/>
        <w:rPr>
          <w:rFonts w:hint="eastAsia" w:ascii="仿宋" w:hAnsi="仿宋" w:eastAsia="仿宋" w:cs="仿宋"/>
          <w:color w:val="auto"/>
          <w:sz w:val="21"/>
          <w:szCs w:val="21"/>
          <w:highlight w:val="none"/>
        </w:rPr>
      </w:pPr>
    </w:p>
    <w:p w14:paraId="1F41E32F">
      <w:pPr>
        <w:keepNext w:val="0"/>
        <w:keepLines w:val="0"/>
        <w:pageBreakBefore w:val="0"/>
        <w:shd w:val="clear"/>
        <w:kinsoku/>
        <w:wordWrap/>
        <w:overflowPunct/>
        <w:topLinePunct w:val="0"/>
        <w:bidi w:val="0"/>
        <w:spacing w:line="56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甲方单位：（盖章）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乙方单位：（盖章）</w:t>
      </w:r>
    </w:p>
    <w:p w14:paraId="3C93DCD4">
      <w:pPr>
        <w:keepNext w:val="0"/>
        <w:keepLines w:val="0"/>
        <w:pageBreakBefore w:val="0"/>
        <w:shd w:val="clear"/>
        <w:kinsoku/>
        <w:wordWrap/>
        <w:overflowPunct/>
        <w:topLinePunct w:val="0"/>
        <w:bidi w:val="0"/>
        <w:spacing w:line="56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    称：</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名</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 xml:space="preserve">称： </w:t>
      </w:r>
    </w:p>
    <w:p w14:paraId="37709F24">
      <w:pPr>
        <w:keepNext w:val="0"/>
        <w:keepLines w:val="0"/>
        <w:pageBreakBefore w:val="0"/>
        <w:shd w:val="clear"/>
        <w:kinsoku/>
        <w:wordWrap/>
        <w:overflowPunct/>
        <w:topLinePunct w:val="0"/>
        <w:bidi w:val="0"/>
        <w:spacing w:line="56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lang w:val="en-US" w:eastAsia="zh-CN"/>
        </w:rPr>
        <w:t>/授权代表</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法定代表人/授权代表：</w:t>
      </w:r>
    </w:p>
    <w:p w14:paraId="49E017E3">
      <w:pPr>
        <w:keepNext w:val="0"/>
        <w:keepLines w:val="0"/>
        <w:pageBreakBefore w:val="0"/>
        <w:shd w:val="clear"/>
        <w:kinsoku/>
        <w:wordWrap/>
        <w:overflowPunct/>
        <w:topLinePunct w:val="0"/>
        <w:bidi w:val="0"/>
        <w:spacing w:line="560" w:lineRule="exact"/>
        <w:ind w:firstLine="1050" w:firstLineChars="500"/>
        <w:textAlignment w:val="auto"/>
        <w:rPr>
          <w:rFonts w:hint="eastAsia" w:ascii="仿宋" w:hAnsi="仿宋" w:eastAsia="仿宋" w:cs="仿宋"/>
          <w:color w:val="auto"/>
          <w:spacing w:val="-30"/>
          <w:sz w:val="21"/>
          <w:szCs w:val="21"/>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color w:val="auto"/>
          <w:spacing w:val="-30"/>
          <w:sz w:val="21"/>
          <w:szCs w:val="21"/>
          <w:highlight w:val="none"/>
        </w:rPr>
        <w:t xml:space="preserve"> </w:t>
      </w:r>
      <w:r>
        <w:rPr>
          <w:rFonts w:hint="eastAsia" w:ascii="仿宋" w:hAnsi="仿宋" w:eastAsia="仿宋" w:cs="仿宋"/>
          <w:color w:val="auto"/>
          <w:sz w:val="21"/>
          <w:szCs w:val="21"/>
          <w:highlight w:val="none"/>
        </w:rPr>
        <w:t xml:space="preserve">                      </w:t>
      </w:r>
    </w:p>
    <w:p w14:paraId="22008F21">
      <w:pPr>
        <w:shd w:val="clear"/>
        <w:rPr>
          <w:color w:val="auto"/>
          <w:highlight w:val="none"/>
        </w:rPr>
      </w:pPr>
      <w:r>
        <w:rPr>
          <w:rFonts w:hint="eastAsia" w:ascii="仿宋" w:hAnsi="仿宋" w:eastAsia="仿宋" w:cs="仿宋"/>
          <w:color w:val="auto"/>
          <w:sz w:val="21"/>
          <w:szCs w:val="21"/>
          <w:highlight w:val="none"/>
        </w:rPr>
        <w:t xml:space="preserve">签约日期：   年  月  日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签约日期： 年  月  日</w:t>
      </w:r>
    </w:p>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DE5DED"/>
    <w:rsid w:val="16553AED"/>
    <w:rsid w:val="342811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sz w:val="32"/>
      <w:szCs w:val="32"/>
    </w:rPr>
  </w:style>
  <w:style w:type="paragraph" w:styleId="4">
    <w:name w:val="footer"/>
    <w:basedOn w:val="1"/>
    <w:qFormat/>
    <w:uiPriority w:val="99"/>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Body text|3"/>
    <w:basedOn w:val="1"/>
    <w:qFormat/>
    <w:uiPriority w:val="0"/>
    <w:pPr>
      <w:spacing w:line="409" w:lineRule="exact"/>
      <w:ind w:firstLine="560"/>
    </w:pPr>
    <w:rPr>
      <w:rFonts w:hAnsi="宋体" w:cs="宋体"/>
      <w:sz w:val="28"/>
      <w:szCs w:val="28"/>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4154</Words>
  <Characters>4241</Characters>
  <Lines>0</Lines>
  <Paragraphs>0</Paragraphs>
  <TotalTime>0</TotalTime>
  <ScaleCrop>false</ScaleCrop>
  <LinksUpToDate>false</LinksUpToDate>
  <CharactersWithSpaces>4589</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2026-07-31T08:41:00Z</dcterms:created>
  <dc:creator>Administrator</dc:creator>
  <cp:lastModifiedBy>Fu_______</cp:lastModifiedBy>
  <dcterms:modified xsi:type="dcterms:W3CDTF">2026-08-03T10:16:00Z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KSOTemplateDocerSaveRecord">
    <vt:lpwstr>eyJoZGlkIjoiOGU1M2EwZjk1NzIzYThhYTZjMWFlMzBjNzk0ZDI2MDMiLCJ1c2VySWQiOiI3NDA5MTM0MjcifQ==</vt:lpwstr>
  </property>
  <property fmtid="{D5CDD505-2E9C-101B-9397-08002B2CF9AE}" pid="4" name="ICV">
    <vt:lpwstr>F3C7CACE980A48A88B9199F5438A9AE7_12</vt:lpwstr>
  </property>
</Properties>
</file>