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版本号：SXTW-2026-072220260723001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临渭区农村中转站修缮恢复工程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SXTW-2026-0722</w:t>
      </w:r>
      <w:r>
        <w:br/>
      </w:r>
      <w:r>
        <w:br/>
      </w:r>
      <w:r>
        <w:br/>
      </w:r>
    </w:p>
    <w:p>
      <w:pPr>
        <w:pStyle w:val="null3"/>
        <w:jc w:val="center"/>
        <w:outlineLvl w:val="2"/>
      </w:pPr>
      <w:r>
        <w:rPr>
          <w:rFonts w:ascii="仿宋_GB2312" w:hAnsi="仿宋_GB2312" w:cs="仿宋_GB2312" w:eastAsia="仿宋_GB2312"/>
          <w:sz w:val="28"/>
          <w:b/>
        </w:rPr>
        <w:t>渭南市临渭区环境卫生管理中心</w:t>
      </w:r>
    </w:p>
    <w:p>
      <w:pPr>
        <w:pStyle w:val="null3"/>
        <w:jc w:val="center"/>
        <w:outlineLvl w:val="2"/>
      </w:pPr>
      <w:r>
        <w:rPr>
          <w:rFonts w:ascii="仿宋_GB2312" w:hAnsi="仿宋_GB2312" w:cs="仿宋_GB2312" w:eastAsia="仿宋_GB2312"/>
          <w:sz w:val="28"/>
          <w:b/>
        </w:rPr>
        <w:t>陕西侗伟项目管理有限公司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陕西侗伟项目管理有限公司</w:t>
      </w:r>
      <w:r>
        <w:rPr>
          <w:rFonts w:ascii="仿宋_GB2312" w:hAnsi="仿宋_GB2312" w:cs="仿宋_GB2312" w:eastAsia="仿宋_GB2312"/>
        </w:rPr>
        <w:t>（以下简称“代理机构”）受</w:t>
      </w:r>
      <w:r>
        <w:rPr>
          <w:rFonts w:ascii="仿宋_GB2312" w:hAnsi="仿宋_GB2312" w:cs="仿宋_GB2312" w:eastAsia="仿宋_GB2312"/>
        </w:rPr>
        <w:t>渭南市临渭区环境卫生管理中心</w:t>
      </w:r>
      <w:r>
        <w:rPr>
          <w:rFonts w:ascii="仿宋_GB2312" w:hAnsi="仿宋_GB2312" w:cs="仿宋_GB2312" w:eastAsia="仿宋_GB2312"/>
        </w:rPr>
        <w:t>委托，拟对</w:t>
      </w:r>
      <w:r>
        <w:rPr>
          <w:rFonts w:ascii="仿宋_GB2312" w:hAnsi="仿宋_GB2312" w:cs="仿宋_GB2312" w:eastAsia="仿宋_GB2312"/>
        </w:rPr>
        <w:t>临渭区农村中转站修缮恢复工程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SXTW-2026-0722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临渭区农村中转站修缮恢复工程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临渭区农村中转站修缮恢复工程，具体内容详见第三章。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采购包1（临渭区农村中转站修缮恢复工程）：属于专门面向中小企业采购。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2、财务状况报告：提供2025年度的财务审计报告（报告需在注册会计师行业统一监管平台备案赋码）或开标前六个月内其基本存款账户开户银行出具的资信证明（附开户许可证或开户备案证明或基本账户信息）；</w:t>
      </w:r>
    </w:p>
    <w:p>
      <w:pPr>
        <w:pStyle w:val="null3"/>
      </w:pPr>
      <w:r>
        <w:rPr>
          <w:rFonts w:ascii="仿宋_GB2312" w:hAnsi="仿宋_GB2312" w:cs="仿宋_GB2312" w:eastAsia="仿宋_GB2312"/>
        </w:rPr>
        <w:t>3、社会保障资金缴纳证明：提供递交响应文件截止之日前六个月内任意一个月社会保障资金缴存单据或社保机构开具的社会保险参保缴费情况证明；依法不需要缴纳社会保障资金的投标人应提供相关证明文件；</w:t>
      </w:r>
    </w:p>
    <w:p>
      <w:pPr>
        <w:pStyle w:val="null3"/>
      </w:pPr>
      <w:r>
        <w:rPr>
          <w:rFonts w:ascii="仿宋_GB2312" w:hAnsi="仿宋_GB2312" w:cs="仿宋_GB2312" w:eastAsia="仿宋_GB2312"/>
        </w:rPr>
        <w:t>4、税收缴纳证明：提供递交响应文件截止之日前六个月内任意一个月的依法缴纳税收的相关凭据（时间以税款所属日期为准、增值税、企业所得税至少提供一种），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5、无重大违法记录声明：近3年内在经营活动中没有重大违法记录的书面声明；</w:t>
      </w:r>
    </w:p>
    <w:p>
      <w:pPr>
        <w:pStyle w:val="null3"/>
      </w:pPr>
      <w:r>
        <w:rPr>
          <w:rFonts w:ascii="仿宋_GB2312" w:hAnsi="仿宋_GB2312" w:cs="仿宋_GB2312" w:eastAsia="仿宋_GB2312"/>
        </w:rPr>
        <w:t>6、专业技术能力证明：具备履行合同所必需的设备和专业技术能力的证明材料(由供应商根据项目需求提供说明材料或者承诺)；</w:t>
      </w:r>
    </w:p>
    <w:p>
      <w:pPr>
        <w:pStyle w:val="null3"/>
      </w:pPr>
      <w:r>
        <w:rPr>
          <w:rFonts w:ascii="仿宋_GB2312" w:hAnsi="仿宋_GB2312" w:cs="仿宋_GB2312" w:eastAsia="仿宋_GB2312"/>
        </w:rPr>
        <w:t>7、信用查询：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p>
      <w:pPr>
        <w:pStyle w:val="null3"/>
      </w:pPr>
      <w:r>
        <w:rPr>
          <w:rFonts w:ascii="仿宋_GB2312" w:hAnsi="仿宋_GB2312" w:cs="仿宋_GB2312" w:eastAsia="仿宋_GB2312"/>
        </w:rPr>
        <w:t>8、法定代表人委托授权书\身份证明：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p>
      <w:pPr>
        <w:pStyle w:val="null3"/>
      </w:pPr>
      <w:r>
        <w:rPr>
          <w:rFonts w:ascii="仿宋_GB2312" w:hAnsi="仿宋_GB2312" w:cs="仿宋_GB2312" w:eastAsia="仿宋_GB2312"/>
        </w:rPr>
        <w:t>9、关联关系：单位负责人为同一人或者存在直接控股、管理关系的不同供应商不得参加同一合同项下的政府采购活动；为本项目提供整体设计、规范编制或者项目管理、监理、检测等服务的供应商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p>
    <w:p>
      <w:pPr>
        <w:pStyle w:val="null3"/>
      </w:pPr>
      <w:r>
        <w:rPr>
          <w:rFonts w:ascii="仿宋_GB2312" w:hAnsi="仿宋_GB2312" w:cs="仿宋_GB2312" w:eastAsia="仿宋_GB2312"/>
        </w:rPr>
        <w:t>10、资质要求：供应商须具备市政公用工程施工总承包三级及以上（含三级）资质（或调整后的同等级资质），并具有有效的安全生产许可证；</w:t>
      </w:r>
    </w:p>
    <w:p>
      <w:pPr>
        <w:pStyle w:val="null3"/>
      </w:pPr>
      <w:r>
        <w:rPr>
          <w:rFonts w:ascii="仿宋_GB2312" w:hAnsi="仿宋_GB2312" w:cs="仿宋_GB2312" w:eastAsia="仿宋_GB2312"/>
        </w:rPr>
        <w:t>11、项目经理：供应商拟派项目经理须具备在本单位注册的市政公用工程专业贰级（含贰级）以上注册建造师资质，具备有效的安全生产考核证书B证，且未担任其他在建项目的承诺书；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渭南市临渭区环境卫生管理中心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临渭区胜利大街与民生路交叉口东北260米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0913-8139362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陕西侗伟项目管理有限公司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渭南市胜利大街与前进路十字西200米（雅馨花园C座东二楼）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13310933306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开户名称：陕西侗伟项目管理有限公司</w:t>
            </w:r>
          </w:p>
          <w:p>
            <w:pPr>
              <w:pStyle w:val="null3"/>
            </w:pPr>
            <w:r>
              <w:rPr>
                <w:rFonts w:ascii="仿宋_GB2312" w:hAnsi="仿宋_GB2312" w:cs="仿宋_GB2312" w:eastAsia="仿宋_GB2312"/>
              </w:rPr>
              <w:t>开户银行：中国建设银行股份有限公司渭南前进路支行</w:t>
            </w:r>
          </w:p>
          <w:p>
            <w:pPr>
              <w:pStyle w:val="null3"/>
            </w:pPr>
            <w:r>
              <w:rPr>
                <w:rFonts w:ascii="仿宋_GB2312" w:hAnsi="仿宋_GB2312" w:cs="仿宋_GB2312" w:eastAsia="仿宋_GB2312"/>
              </w:rPr>
              <w:t>银行账号：6105 0164 1600 0000 1333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由中标单位支付，按照《国家发展改革委关于进一步放开建设项目专业服务价格的通知》（发改价格﹝2015﹞299号）的要求，参照《国家计委关于印发&lt;招标代理服务收费管理暂行办法&gt;的通知》（计价格〔2002〕1980号）和发改价格〔2011〕534号文中规定的标准计取。 2.由成交供应商在领取成交通知书前，须向采购代理机构一次性支付招标代理服务费。3.采购代理服务费账户 户 名：陕西侗伟项目管理有限公司 账 号：6105 0164 1400 0000 0348 开户银行：中国建设银行股份有限公司渭南胜利大街支行</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渭南市临渭区环境卫生管理中心</w:t>
      </w:r>
      <w:r>
        <w:rPr>
          <w:rFonts w:ascii="仿宋_GB2312" w:hAnsi="仿宋_GB2312" w:cs="仿宋_GB2312" w:eastAsia="仿宋_GB2312"/>
        </w:rPr>
        <w:t>和</w:t>
      </w:r>
      <w:r>
        <w:rPr>
          <w:rFonts w:ascii="仿宋_GB2312" w:hAnsi="仿宋_GB2312" w:cs="仿宋_GB2312" w:eastAsia="仿宋_GB2312"/>
        </w:rPr>
        <w:t>陕西侗伟项目管理有限公司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渭南市临渭区环境卫生管理中心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陕西侗伟项目管理有限公司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渭南市临渭区环境卫生管理中心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陕西侗伟项目管理有限公司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详见磋商文件及合同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陕西侗伟项目管理有限公司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陕西侗伟项目管理有限公司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陕西侗伟项目管理有限公司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联系人：李琛</w:t>
      </w:r>
    </w:p>
    <w:p>
      <w:pPr>
        <w:pStyle w:val="null3"/>
      </w:pPr>
      <w:r>
        <w:rPr>
          <w:rFonts w:ascii="仿宋_GB2312" w:hAnsi="仿宋_GB2312" w:cs="仿宋_GB2312" w:eastAsia="仿宋_GB2312"/>
        </w:rPr>
        <w:t>联系电话：13310933306</w:t>
      </w:r>
    </w:p>
    <w:p>
      <w:pPr>
        <w:pStyle w:val="null3"/>
      </w:pPr>
      <w:r>
        <w:rPr>
          <w:rFonts w:ascii="仿宋_GB2312" w:hAnsi="仿宋_GB2312" w:cs="仿宋_GB2312" w:eastAsia="仿宋_GB2312"/>
        </w:rPr>
        <w:t>地址：渭南市胜利大街与前进路十字西200米（雅馨花园C座东二楼）</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949,075.07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临渭区农村中转站修缮恢复工程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标的名称：临渭区农村中转站修缮恢复工程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r>
              <w:rPr>
                <w:rFonts w:ascii="仿宋_GB2312" w:hAnsi="仿宋_GB2312" w:cs="仿宋_GB2312" w:eastAsia="仿宋_GB2312"/>
                <w:sz w:val="24"/>
              </w:rPr>
              <w:t>对临渭区下邽镇等</w:t>
            </w:r>
            <w:r>
              <w:rPr>
                <w:rFonts w:ascii="仿宋_GB2312" w:hAnsi="仿宋_GB2312" w:cs="仿宋_GB2312" w:eastAsia="仿宋_GB2312"/>
                <w:sz w:val="24"/>
              </w:rPr>
              <w:t>14个镇的生活垃圾中转站进行修缮恢复，具体内容包括地面清表、土方开挖、地面硬化、砖砌排水沟、电线整改、垃圾外运等。</w:t>
            </w:r>
          </w:p>
          <w:p>
            <w:pPr>
              <w:pStyle w:val="null3"/>
              <w:jc w:val="both"/>
            </w:pPr>
            <w:r>
              <w:rPr>
                <w:rFonts w:ascii="仿宋_GB2312" w:hAnsi="仿宋_GB2312" w:cs="仿宋_GB2312" w:eastAsia="仿宋_GB2312"/>
                <w:sz w:val="24"/>
                <w:b/>
              </w:rPr>
              <w:t>二、工程地点：</w:t>
            </w:r>
            <w:r>
              <w:rPr>
                <w:rFonts w:ascii="仿宋_GB2312" w:hAnsi="仿宋_GB2312" w:cs="仿宋_GB2312" w:eastAsia="仿宋_GB2312"/>
                <w:sz w:val="24"/>
              </w:rPr>
              <w:t>采购人指定地点</w:t>
            </w:r>
          </w:p>
          <w:p>
            <w:pPr>
              <w:pStyle w:val="null3"/>
              <w:jc w:val="both"/>
            </w:pPr>
            <w:r>
              <w:rPr>
                <w:rFonts w:ascii="仿宋_GB2312" w:hAnsi="仿宋_GB2312" w:cs="仿宋_GB2312" w:eastAsia="仿宋_GB2312"/>
                <w:sz w:val="24"/>
                <w:b/>
              </w:rPr>
              <w:t>三、工期：</w:t>
            </w:r>
            <w:r>
              <w:rPr>
                <w:rFonts w:ascii="仿宋_GB2312" w:hAnsi="仿宋_GB2312" w:cs="仿宋_GB2312" w:eastAsia="仿宋_GB2312"/>
                <w:sz w:val="24"/>
                <w:b/>
              </w:rPr>
              <w:t>自合同签订之日起</w:t>
            </w:r>
            <w:r>
              <w:rPr>
                <w:rFonts w:ascii="仿宋_GB2312" w:hAnsi="仿宋_GB2312" w:cs="仿宋_GB2312" w:eastAsia="仿宋_GB2312"/>
                <w:sz w:val="24"/>
                <w:b/>
              </w:rPr>
              <w:t>60日历天</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四、质保期：</w:t>
            </w:r>
            <w:r>
              <w:rPr>
                <w:rFonts w:ascii="仿宋_GB2312" w:hAnsi="仿宋_GB2312" w:cs="仿宋_GB2312" w:eastAsia="仿宋_GB2312"/>
                <w:sz w:val="24"/>
                <w:b/>
              </w:rPr>
              <w:t>2年</w:t>
            </w:r>
          </w:p>
          <w:p>
            <w:pPr>
              <w:pStyle w:val="null3"/>
              <w:jc w:val="both"/>
            </w:pPr>
            <w:r>
              <w:rPr>
                <w:rFonts w:ascii="仿宋_GB2312" w:hAnsi="仿宋_GB2312" w:cs="仿宋_GB2312" w:eastAsia="仿宋_GB2312"/>
                <w:sz w:val="24"/>
                <w:b/>
              </w:rPr>
              <w:t>五</w:t>
            </w:r>
            <w:r>
              <w:rPr>
                <w:rFonts w:ascii="仿宋_GB2312" w:hAnsi="仿宋_GB2312" w:cs="仿宋_GB2312" w:eastAsia="仿宋_GB2312"/>
                <w:sz w:val="24"/>
                <w:b/>
              </w:rPr>
              <w:t xml:space="preserve"> </w:t>
            </w:r>
            <w:r>
              <w:rPr>
                <w:rFonts w:ascii="仿宋_GB2312" w:hAnsi="仿宋_GB2312" w:cs="仿宋_GB2312" w:eastAsia="仿宋_GB2312"/>
                <w:sz w:val="24"/>
                <w:b/>
              </w:rPr>
              <w:t>、编制依据</w:t>
            </w:r>
          </w:p>
          <w:p>
            <w:pPr>
              <w:pStyle w:val="null3"/>
              <w:jc w:val="both"/>
            </w:pPr>
            <w:r>
              <w:rPr>
                <w:rFonts w:ascii="仿宋_GB2312" w:hAnsi="仿宋_GB2312" w:cs="仿宋_GB2312" w:eastAsia="仿宋_GB2312"/>
                <w:sz w:val="24"/>
              </w:rPr>
              <w:t>1、依据本工程施工图纸、相关标准图集；</w:t>
            </w:r>
          </w:p>
          <w:p>
            <w:pPr>
              <w:pStyle w:val="null3"/>
              <w:jc w:val="both"/>
            </w:pPr>
            <w:r>
              <w:rPr>
                <w:rFonts w:ascii="仿宋_GB2312" w:hAnsi="仿宋_GB2312" w:cs="仿宋_GB2312" w:eastAsia="仿宋_GB2312"/>
                <w:sz w:val="24"/>
              </w:rPr>
              <w:t>2、陕西省工程建设标准《建设工程工程量清单计价标准》(DB 61/T 5126-2025)；</w:t>
            </w:r>
          </w:p>
          <w:p>
            <w:pPr>
              <w:pStyle w:val="null3"/>
              <w:jc w:val="both"/>
            </w:pPr>
            <w:r>
              <w:rPr>
                <w:rFonts w:ascii="仿宋_GB2312" w:hAnsi="仿宋_GB2312" w:cs="仿宋_GB2312" w:eastAsia="仿宋_GB2312"/>
                <w:sz w:val="24"/>
              </w:rPr>
              <w:t>3、陕西省住房和城乡建设厅发布《陕西省建设工程费用规则》（2025）；</w:t>
            </w:r>
          </w:p>
          <w:p>
            <w:pPr>
              <w:pStyle w:val="null3"/>
              <w:jc w:val="both"/>
            </w:pPr>
            <w:r>
              <w:rPr>
                <w:rFonts w:ascii="仿宋_GB2312" w:hAnsi="仿宋_GB2312" w:cs="仿宋_GB2312" w:eastAsia="仿宋_GB2312"/>
                <w:sz w:val="24"/>
              </w:rPr>
              <w:t>4、陕西省工程建设标准《房屋建筑与装饰工程工程量计算标准》(DB 61/T 5129-2025)，陕西省工程建设标准《通用安装工程工程量计算标准》(DB 61/T 5130-2025)；</w:t>
            </w:r>
          </w:p>
          <w:p>
            <w:pPr>
              <w:pStyle w:val="null3"/>
              <w:jc w:val="both"/>
            </w:pPr>
            <w:r>
              <w:rPr>
                <w:rFonts w:ascii="仿宋_GB2312" w:hAnsi="仿宋_GB2312" w:cs="仿宋_GB2312" w:eastAsia="仿宋_GB2312"/>
                <w:sz w:val="24"/>
              </w:rPr>
              <w:t>5、计税方式采用一般计税方法，增值税税率9%。</w:t>
            </w:r>
          </w:p>
          <w:p>
            <w:pPr>
              <w:pStyle w:val="null3"/>
              <w:jc w:val="both"/>
            </w:pPr>
            <w:r>
              <w:rPr>
                <w:rFonts w:ascii="仿宋_GB2312" w:hAnsi="仿宋_GB2312" w:cs="仿宋_GB2312" w:eastAsia="仿宋_GB2312"/>
                <w:sz w:val="24"/>
                <w:b/>
              </w:rPr>
              <w:t>六</w:t>
            </w:r>
            <w:r>
              <w:rPr>
                <w:rFonts w:ascii="仿宋_GB2312" w:hAnsi="仿宋_GB2312" w:cs="仿宋_GB2312" w:eastAsia="仿宋_GB2312"/>
                <w:sz w:val="24"/>
                <w:b/>
              </w:rPr>
              <w:t>、清单编制中应说明的问题</w:t>
            </w:r>
          </w:p>
          <w:p>
            <w:pPr>
              <w:pStyle w:val="null3"/>
              <w:jc w:val="both"/>
            </w:pPr>
            <w:r>
              <w:rPr>
                <w:rFonts w:ascii="仿宋_GB2312" w:hAnsi="仿宋_GB2312" w:cs="仿宋_GB2312" w:eastAsia="仿宋_GB2312"/>
                <w:sz w:val="24"/>
              </w:rPr>
              <w:t>本工程计价软件采用广联达云计价平台</w:t>
            </w:r>
            <w:r>
              <w:rPr>
                <w:rFonts w:ascii="仿宋_GB2312" w:hAnsi="仿宋_GB2312" w:cs="仿宋_GB2312" w:eastAsia="仿宋_GB2312"/>
                <w:sz w:val="24"/>
              </w:rPr>
              <w:t>GCCP7.0（版本号7.5000.23.3）。</w:t>
            </w:r>
          </w:p>
          <w:p>
            <w:pPr>
              <w:pStyle w:val="null3"/>
              <w:jc w:val="both"/>
            </w:pPr>
            <w:r>
              <w:rPr>
                <w:rFonts w:ascii="仿宋_GB2312" w:hAnsi="仿宋_GB2312" w:cs="仿宋_GB2312" w:eastAsia="仿宋_GB2312"/>
                <w:sz w:val="24"/>
                <w:b/>
              </w:rPr>
              <w:t>七</w:t>
            </w:r>
            <w:r>
              <w:rPr>
                <w:rFonts w:ascii="仿宋_GB2312" w:hAnsi="仿宋_GB2312" w:cs="仿宋_GB2312" w:eastAsia="仿宋_GB2312"/>
                <w:sz w:val="24"/>
                <w:b/>
              </w:rPr>
              <w:t>、质量标准</w:t>
            </w:r>
          </w:p>
          <w:p>
            <w:pPr>
              <w:pStyle w:val="null3"/>
            </w:pPr>
            <w:r>
              <w:rPr>
                <w:rFonts w:ascii="仿宋_GB2312" w:hAnsi="仿宋_GB2312" w:cs="仿宋_GB2312" w:eastAsia="仿宋_GB2312"/>
                <w:sz w:val="24"/>
              </w:rPr>
              <w:t>达到国家现行行业施工验收规范</w:t>
            </w:r>
            <w:r>
              <w:rPr>
                <w:rFonts w:ascii="仿宋_GB2312" w:hAnsi="仿宋_GB2312" w:cs="仿宋_GB2312" w:eastAsia="仿宋_GB2312"/>
                <w:sz w:val="24"/>
              </w:rPr>
              <w:t>“合格”标准。</w:t>
            </w:r>
          </w:p>
          <w:p>
            <w:pPr>
              <w:pStyle w:val="null3"/>
            </w:pPr>
            <w:r>
              <w:rPr>
                <w:rFonts w:ascii="仿宋_GB2312" w:hAnsi="仿宋_GB2312" w:cs="仿宋_GB2312" w:eastAsia="仿宋_GB2312"/>
                <w:sz w:val="24"/>
                <w:b/>
              </w:rPr>
              <w:t>八、付款方式</w:t>
            </w:r>
          </w:p>
          <w:p>
            <w:pPr>
              <w:pStyle w:val="null3"/>
              <w:jc w:val="both"/>
            </w:pPr>
            <w:r>
              <w:rPr>
                <w:rFonts w:ascii="仿宋_GB2312" w:hAnsi="仿宋_GB2312" w:cs="仿宋_GB2312" w:eastAsia="仿宋_GB2312"/>
                <w:sz w:val="24"/>
              </w:rPr>
              <w:t>合同签订生效、项目正式开工，且成交供应商提交合规开工资料后，达到付款条件</w:t>
            </w:r>
            <w:r>
              <w:rPr>
                <w:rFonts w:ascii="仿宋_GB2312" w:hAnsi="仿宋_GB2312" w:cs="仿宋_GB2312" w:eastAsia="仿宋_GB2312"/>
                <w:sz w:val="24"/>
              </w:rPr>
              <w:t>10个工作日内，支付合同总价的40%，施工验收合格，工程决算审计报告双方签字盖章认可后，达到付款条件10个工作日内，支付合同总价的60%。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达到国家现行行业施工验收规范“合格”标准。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（一）磋商保证金缴纳规范：1.缴纳主体要求：磋商保证金必须由供应商本单位对公账户转出缴纳，个人账户、非本供应商账户缴纳的保证金一律无效，直接视为供应商自动放弃磋商资格，响应文件不予受理。 2.缴纳时限要求：磋商保证金（含保函）须在响应文件递交截止时间前完成全部提交手续，逾期提交、金额不足、提交形式不符的，直接判定响应无效。 3.保函提交细则：采用保函形式缴纳保证金的供应商，须在响应文件递交截止时间前，将合规保函完整上传至政府采购电子化交易平台；同时将清晰、完整、无遮挡的保函PDF扫描件发送至指定邮箱：sxtwgs@163.com，邮件命名严格执行格式：项目名称+项目编号。供应商须在响应文件中附保函有效复印件，以备核查。 4.保函合规要求：保函须由具备合法投标保函开具资质的金融机构/单位出具，保函条款合法有效、权责清晰。若供应商在磋商及履约阶段发生违约行为，保函开具单位须依法承担相应连带责任。 5.否决条款：磋商保证金的缴纳金额、缴纳主体、提交时限、提交形式任意一项不满足本磋商文件要求的，供应商响应直接无效，不进入后续评审环节。 （二）投标时供应商无需提供纸质版响应文件。成交供应商在领取中标（成交）通知书前将纸质版响应文件打印胶装3份、电子版（U 盘）文件3份提交至采购代理机构处，以便采购人进行留存备案等工作，成交供应商应保持响应文件纸质版内容与电子版内容完全一致，否则将承担一切法律责任。纸质版响应文件一律采用书籍（胶装）方式装订且单面或双面打印。提交地点：陕西省渭南市前进路与胜利大街十字西200米雅馨花园C座C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资质证明文件（参考格式）.docx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资质证明文件（参考格式）.docx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提供2025年度的财务审计报告（报告需在注册会计师行业统一监管平台备案赋码）或开标前六个月内其基本存款账户开户银行出具的资信证明（附开户许可证或开户备案证明或基本账户信息）；</w:t>
            </w:r>
          </w:p>
        </w:tc>
        <w:tc>
          <w:tcPr>
            <w:tcW w:type="dxa" w:w="1661"/>
          </w:tcPr>
          <w:p>
            <w:pPr>
              <w:pStyle w:val="null3"/>
            </w:pPr>
            <w:r>
              <w:rPr>
                <w:rFonts w:ascii="仿宋_GB2312" w:hAnsi="仿宋_GB2312" w:cs="仿宋_GB2312" w:eastAsia="仿宋_GB2312"/>
              </w:rPr>
              <w:t>资质证明文件（参考格式）.docx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提供递交响应文件截止之日前六个月内任意一个月社会保障资金缴存单据或社保机构开具的社会保险参保缴费情况证明；依法不需要缴纳社会保障资金的投标人应提供相关证明文件；</w:t>
            </w:r>
          </w:p>
        </w:tc>
        <w:tc>
          <w:tcPr>
            <w:tcW w:type="dxa" w:w="1661"/>
          </w:tcPr>
          <w:p>
            <w:pPr>
              <w:pStyle w:val="null3"/>
            </w:pPr>
            <w:r>
              <w:rPr>
                <w:rFonts w:ascii="仿宋_GB2312" w:hAnsi="仿宋_GB2312" w:cs="仿宋_GB2312" w:eastAsia="仿宋_GB2312"/>
              </w:rPr>
              <w:t>资质证明文件（参考格式）.docx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时间以税款所属日期为准、增值税、企业所得税至少提供一种），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资质证明文件（参考格式）.docx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资质证明文件（参考格式）.docx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资质证明文件（参考格式）.docx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tc>
        <w:tc>
          <w:tcPr>
            <w:tcW w:type="dxa" w:w="1661"/>
          </w:tcPr>
          <w:p>
            <w:pPr>
              <w:pStyle w:val="null3"/>
            </w:pPr>
            <w:r>
              <w:rPr>
                <w:rFonts w:ascii="仿宋_GB2312" w:hAnsi="仿宋_GB2312" w:cs="仿宋_GB2312" w:eastAsia="仿宋_GB2312"/>
              </w:rPr>
              <w:t>资质证明文件（参考格式）.docx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tc>
        <w:tc>
          <w:tcPr>
            <w:tcW w:type="dxa" w:w="1661"/>
          </w:tcPr>
          <w:p>
            <w:pPr>
              <w:pStyle w:val="null3"/>
            </w:pPr>
            <w:r>
              <w:rPr>
                <w:rFonts w:ascii="仿宋_GB2312" w:hAnsi="仿宋_GB2312" w:cs="仿宋_GB2312" w:eastAsia="仿宋_GB2312"/>
              </w:rPr>
              <w:t>资质证明文件（参考格式）.docx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p>
        </w:tc>
        <w:tc>
          <w:tcPr>
            <w:tcW w:type="dxa" w:w="1661"/>
          </w:tcPr>
          <w:p>
            <w:pPr>
              <w:pStyle w:val="null3"/>
            </w:pPr>
            <w:r>
              <w:rPr>
                <w:rFonts w:ascii="仿宋_GB2312" w:hAnsi="仿宋_GB2312" w:cs="仿宋_GB2312" w:eastAsia="仿宋_GB2312"/>
              </w:rPr>
              <w:t>资质证明文件（参考格式）.docx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供应商须具备市政公用工程施工总承包三级及以上（含三级）资质（或调整后的同等级资质），并具有有效的安全生产许可证；</w:t>
            </w:r>
          </w:p>
        </w:tc>
        <w:tc>
          <w:tcPr>
            <w:tcW w:type="dxa" w:w="1661"/>
          </w:tcPr>
          <w:p>
            <w:pPr>
              <w:pStyle w:val="null3"/>
            </w:pPr>
            <w:r>
              <w:rPr>
                <w:rFonts w:ascii="仿宋_GB2312" w:hAnsi="仿宋_GB2312" w:cs="仿宋_GB2312" w:eastAsia="仿宋_GB2312"/>
              </w:rPr>
              <w:t>资质证明文件（参考格式）.docx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供应商拟派项目经理须具备在本单位注册的市政公用工程专业贰级（含贰级）以上注册建造师资质，具备有效的安全生产考核证书B证，且未担任其他在建项目的承诺书；</w:t>
            </w:r>
          </w:p>
        </w:tc>
        <w:tc>
          <w:tcPr>
            <w:tcW w:type="dxa" w:w="1661"/>
          </w:tcPr>
          <w:p>
            <w:pPr>
              <w:pStyle w:val="null3"/>
            </w:pPr>
            <w:r>
              <w:rPr>
                <w:rFonts w:ascii="仿宋_GB2312" w:hAnsi="仿宋_GB2312" w:cs="仿宋_GB2312" w:eastAsia="仿宋_GB2312"/>
              </w:rPr>
              <w:t>资质证明文件（参考格式）.docx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磋商内容未出现漏项或数量与要求不符，未出现重大负偏差；</w:t>
            </w:r>
          </w:p>
        </w:tc>
        <w:tc>
          <w:tcPr>
            <w:tcW w:type="dxa" w:w="1661"/>
          </w:tcPr>
          <w:p>
            <w:pPr>
              <w:pStyle w:val="null3"/>
            </w:pPr>
            <w:r>
              <w:rPr>
                <w:rFonts w:ascii="仿宋_GB2312" w:hAnsi="仿宋_GB2312" w:cs="仿宋_GB2312" w:eastAsia="仿宋_GB2312"/>
              </w:rPr>
              <w:t>已标价工程量清单 技术、服务、合同条款及其他商务要求应答表.docx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磋商响应文件的签署、加盖公章有效；</w:t>
            </w:r>
          </w:p>
        </w:tc>
        <w:tc>
          <w:tcPr>
            <w:tcW w:type="dxa" w:w="1661"/>
          </w:tcPr>
          <w:p>
            <w:pPr>
              <w:pStyle w:val="null3"/>
            </w:pPr>
            <w:r>
              <w:rPr>
                <w:rFonts w:ascii="仿宋_GB2312" w:hAnsi="仿宋_GB2312" w:cs="仿宋_GB2312" w:eastAsia="仿宋_GB2312"/>
              </w:rPr>
              <w:t>响应文件封面 磋商一览表.docx 资质证明文件（参考格式）.docx 中小企业声明函 报价函 标的清单 供应商拒绝政府采购领域商业贿赂承诺书.docx 项目经理简历表.docx 响应函 强制优先采购产品承诺函 技术、服务、合同条款及其他商务要求应答表.docx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磋商响应文件按有效期达到磋商文件的要求；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完全理解并接受法律法规和磋商文件对供应商合法经营的各类规约和责任义务要求，未出现法律、法规或磋商文件规定的其他无效情形的；</w:t>
            </w:r>
          </w:p>
        </w:tc>
        <w:tc>
          <w:tcPr>
            <w:tcW w:type="dxa" w:w="1661"/>
          </w:tcPr>
          <w:p>
            <w:pPr>
              <w:pStyle w:val="null3"/>
            </w:pPr>
            <w:r>
              <w:rPr>
                <w:rFonts w:ascii="仿宋_GB2312" w:hAnsi="仿宋_GB2312" w:cs="仿宋_GB2312" w:eastAsia="仿宋_GB2312"/>
              </w:rPr>
              <w:t>响应文件封面 已标价工程量清单 报价函 标的清单 供应商拒绝政府采购领域商业贿赂承诺书.docx 技术、服务、合同条款及其他商务要求应答表.docx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磋商一览表.docx 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已标价工程量清单扉页是否(仅指投标总价扉页)加盖有注册或登记在本单位的造价人员签字并盖执业印章</w:t>
            </w:r>
          </w:p>
        </w:tc>
        <w:tc>
          <w:tcPr>
            <w:tcW w:type="dxa" w:w="3322"/>
          </w:tcPr>
          <w:p>
            <w:pPr>
              <w:pStyle w:val="null3"/>
            </w:pPr>
            <w:r>
              <w:rPr>
                <w:rFonts w:ascii="仿宋_GB2312" w:hAnsi="仿宋_GB2312" w:cs="仿宋_GB2312" w:eastAsia="仿宋_GB2312"/>
              </w:rPr>
              <w:t>已标价工程量清单扉页(仅指投标总价扉页)加盖有注册或登记在本单位的造价人员签字并盖执业印章或工程造价咨询企业(提供双方合作协议)的造价人员签字并盖执业印章；</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按磋商文件要求提交了磋商保证金</w:t>
            </w:r>
          </w:p>
        </w:tc>
        <w:tc>
          <w:tcPr>
            <w:tcW w:type="dxa" w:w="1661"/>
          </w:tcPr>
          <w:p>
            <w:pPr>
              <w:pStyle w:val="null3"/>
            </w:pPr>
            <w:r>
              <w:rPr>
                <w:rFonts w:ascii="仿宋_GB2312" w:hAnsi="仿宋_GB2312" w:cs="仿宋_GB2312" w:eastAsia="仿宋_GB2312"/>
              </w:rPr>
              <w:t>磋商保证金.docx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报价未超过磋商文件中规定的最高限价的。</w:t>
            </w:r>
          </w:p>
        </w:tc>
        <w:tc>
          <w:tcPr>
            <w:tcW w:type="dxa" w:w="1661"/>
          </w:tcPr>
          <w:p>
            <w:pPr>
              <w:pStyle w:val="null3"/>
            </w:pPr>
            <w:r>
              <w:rPr>
                <w:rFonts w:ascii="仿宋_GB2312" w:hAnsi="仿宋_GB2312" w:cs="仿宋_GB2312" w:eastAsia="仿宋_GB2312"/>
              </w:rPr>
              <w:t>磋商一览表.docx 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供应商针对本项目提供施工方案，内容包括：①施工准备；②施工方法；③重点难点工程分析及解决措施等。 二、评审标准 1.完整性：内容必须全面，对评审内容中的各项要求有详细描述； 2.可实施性：切合本项目实际情况，提出步骤清晰、合理的方案； 3.针对性：方案能够紧扣项目实际情况，内容科学合理； 4.准确性：方案描述准确，没有实质性错误或明显的描述及逻辑错误。 三、赋分标准（满分12分） ①施工准备：每完全满足一项评审标准得1分，有瑕疵得0.5 分，满分4分； ②施工方法：每完全满足一项评审标准得1分，有瑕疵得0.5 分，满分4分； ③重点难点工程分析及解决措施：每完全满足一项评审标准得1分，有瑕疵得0.5 分，满分4分。 以上内容缺项或未提供得0分。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供应商为确保工期所建立的组织体系、管理方法和具体措施，包括：①施工进度计划（横道图或网络图）的合理性、关键线路的清晰性；②工期保证的组织体系、人员职责及动态管理制度；③应对梅雨天气、材料供应延迟等导致工期延误的预案及赶工措施。 二、评审标准：科学性、全面性、动态控制能力、抗风险能力。 三、赋分标准： 1.内容①满分2分：计划编制科学，采用网络图或带关键线路的横道图，工序分解合理，关键线路明确，并预留合理的调试及应急时间。每发现以下任意一种缺陷扣0.4分，扣完本项2分为止。 2.内容②满分2分：体系健全，成立以项目经理为核心的工期保障小组，职责分工明确到人，有明确的进度检查（日/周报）、分析（偏差分析会）与动态调整制度。每发现以下任意一种缺陷扣0.4分，扣完本项2分为止。 3.内容③满分2分：预案考虑周全，赶工措施具体、可行。每发现以下任意一种缺陷扣0.4分，扣完本项2分为止。 四、缺陷定义：a.不完整b.描述简单c.非针对性d.逻辑漏洞e.不利于目标实现。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供应商提供针对本项目实际需求编制的工程质量的技术组织措施，内容包含：①工程质量目标；②施工质量保障措施；③施工质量检验制度。 二、评审标准 1.完整性：内容必须全面，对评审内容中的各项要求有详细描述； 2.可实施性：切合本项目实际情况，提出步骤清晰、合理的方案； 3.针对性：方案能够紧扣项目实际情况，内容科学合理。 三、赋分标准（满分9分） ①工程质量目标：每完全满足一个评审标准得1分，有瑕疵得0.5 分，有缺项漏项得 0 分。满分3分； ②施工质量保障措施：每完全满足一个评审标准得1分，有瑕疵得0.5 分，有缺项漏项得 0 分。满分3分； ③施工质量检验制度：每完全满足一个评审标准得1分，有瑕疵得0.5 分，有缺项漏项得 0 分。满分3分。 以上内容缺项漏项或未提供得0分。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确保安全文明施工的技术组织措施及环境保护措施（含治污减霾方案）</w:t>
            </w:r>
          </w:p>
        </w:tc>
        <w:tc>
          <w:tcPr>
            <w:tcW w:type="dxa" w:w="2492"/>
          </w:tcPr>
          <w:p>
            <w:pPr>
              <w:pStyle w:val="null3"/>
            </w:pPr>
            <w:r>
              <w:rPr>
                <w:rFonts w:ascii="仿宋_GB2312" w:hAnsi="仿宋_GB2312" w:cs="仿宋_GB2312" w:eastAsia="仿宋_GB2312"/>
              </w:rPr>
              <w:t>一、评审内容 供应商提供针对本项目实际需求编制的确保安全文明施工的技术组织措施及环境保护措施（含治污减霾方案），内容包括：①安全管理体系及文明施工管理制度；②安全标识、安全教育培训、文明施工检查措施；③环境保护控制措施（污染物及废弃物处理、噪音控制、防尘及扬尘的控制措施）。 二、评审标准 1.完整性：内容必须全面，对评审内容中的各项要求有详细描述； 2.可实施性：切合本项目实际情况，提出步骤清晰、合理的方案； 3.针对性：方案能够紧扣项目实际情况，内容科学合理。 三、赋分标准（满分9分） ①安全管理体系及文明施工管理制度：每完全满足一个评审标准得1分，有瑕疵得0.5 分，有缺项漏项得 0 分。满分3分； ②安全标识、安全教育培训、文明施工检查措施：每完全满足一个评审标准得1分，有瑕疵得0.5 分，有缺项漏项得 0 分。满分3分；③环境保护控制措施：每完全满足一个评审标准得1分，有瑕疵得0.5 分，有缺项漏项得 0 分。满分3分； 以上内容缺项漏项或未提供得0分。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施工机械配备投入计划</w:t>
            </w:r>
          </w:p>
        </w:tc>
        <w:tc>
          <w:tcPr>
            <w:tcW w:type="dxa" w:w="2492"/>
          </w:tcPr>
          <w:p>
            <w:pPr>
              <w:pStyle w:val="null3"/>
            </w:pPr>
            <w:r>
              <w:rPr>
                <w:rFonts w:ascii="仿宋_GB2312" w:hAnsi="仿宋_GB2312" w:cs="仿宋_GB2312" w:eastAsia="仿宋_GB2312"/>
              </w:rPr>
              <w:t>一、评审内容 供应商提供针对本项目实际需求提供施工机械配备投入计划。 二、评审标准 1.完整性：内容必须全面，对评审内容中的要求有详细描述； 2.可实施性：切合本项目实际情况，提出步骤清晰、合理的方案； 3.针对性：方案能够紧扣项目实际情况，内容科学合理。 三、赋分标准（满分3分） 施工机械配备投入计划：每完全满足一个评审标准得1分，有瑕疵得0.5 分，有缺项漏项得 0 分。满分3分。 以上内容缺项漏项或未提供得0分。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项目风险预测与防范，事故应急预案</w:t>
            </w:r>
          </w:p>
        </w:tc>
        <w:tc>
          <w:tcPr>
            <w:tcW w:type="dxa" w:w="2492"/>
          </w:tcPr>
          <w:p>
            <w:pPr>
              <w:pStyle w:val="null3"/>
            </w:pPr>
            <w:r>
              <w:rPr>
                <w:rFonts w:ascii="仿宋_GB2312" w:hAnsi="仿宋_GB2312" w:cs="仿宋_GB2312" w:eastAsia="仿宋_GB2312"/>
              </w:rPr>
              <w:t>一、评审内容：供应商对项目全过程风险的识别、评估及应对能力，包括：①对技术、管理、环境等方面的潜在风险进行系统识别与评估；②针对各类重大风险的防范措施、事故应急响应措施。 二、评审标准：全面性、科学性、可操作性。 三、赋分标准： 1.内容①满分1分：风险识别全面，分类清晰，评估合理。每发现以下任意一种缺陷扣0.2分，扣完本项1分为止。 2.内容②满分1分：防范措施针对性强，应急预案响应等级清晰，职责明确，资源保障到位。每发现以下任意一种缺陷扣0.2分，扣完本项1分为止。 四、缺陷定义：a.不完整b.描述简单c.非针对性d.逻辑漏洞e.不利于目标实现。</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工程验收维护方案</w:t>
            </w:r>
          </w:p>
        </w:tc>
        <w:tc>
          <w:tcPr>
            <w:tcW w:type="dxa" w:w="2492"/>
          </w:tcPr>
          <w:p>
            <w:pPr>
              <w:pStyle w:val="null3"/>
            </w:pPr>
            <w:r>
              <w:rPr>
                <w:rFonts w:ascii="仿宋_GB2312" w:hAnsi="仿宋_GB2312" w:cs="仿宋_GB2312" w:eastAsia="仿宋_GB2312"/>
              </w:rPr>
              <w:t>一、评审内容 供应商依据国家相关规定，结合本项目的实际，提出工程验收维护方案，内容包含：①验收方案；②维保措施；③保修责任及保修承诺。 二、评审标准 1.完整性：内容必须全面，对评审内容中的各项要求有详细描述； 2.可实施性：切合本项目实际情况，提出步骤清晰、合理的方案； 3.针对性：方案能够紧扣项目实际情况，内容科学合理。 三、赋分标准（满分9分） ①验收方案：每完全满足一个评审标准得1分，有瑕疵得0.5 分，有缺项漏项得 0 分。满分3分； ②维保措施：每完全满足一个评审标准得1分，有瑕疵得0.5 分，有缺项漏项得 0 分。满分3分； ③保修责任及保修承诺：每完全满足一个评审标准得1分，有瑕疵得0.5 分，有缺项漏项得 0 分。满分3分； 以上内容缺项或未提供得0分。 备注：瑕疵是指存在不完全满足评分标准，但项目仍可实施。缺项漏项或未提供是指不满足评分标准，严重影响项目实施。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项目部人员组成</w:t>
            </w:r>
          </w:p>
        </w:tc>
        <w:tc>
          <w:tcPr>
            <w:tcW w:type="dxa" w:w="2492"/>
          </w:tcPr>
          <w:p>
            <w:pPr>
              <w:pStyle w:val="null3"/>
            </w:pPr>
            <w:r>
              <w:rPr>
                <w:rFonts w:ascii="仿宋_GB2312" w:hAnsi="仿宋_GB2312" w:cs="仿宋_GB2312" w:eastAsia="仿宋_GB2312"/>
              </w:rPr>
              <w:t>一、评审内容：项目部人员除项目经理外，配备施工员、质量员、安全员、材料员、资料员各1人 二、评审标准：完整性（人员岗位配备齐全）；真实性（人员岗位证书清晰可辨并加盖公章）；符合性（人员数量及岗位配置符合要求）。 三、赋分标准：①配置得分：满足人员配置要求（5个指定岗位）得10分，每缺少1人扣2分，扣完为止；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项目经理简历表.docx</w:t>
            </w:r>
          </w:p>
          <w:p>
            <w:pPr>
              <w:pStyle w:val="null3"/>
            </w:pPr>
            <w:r>
              <w:rPr>
                <w:rFonts w:ascii="仿宋_GB2312" w:hAnsi="仿宋_GB2312" w:cs="仿宋_GB2312" w:eastAsia="仿宋_GB2312"/>
              </w:rPr>
              <w:t>拟投入本项目人员配置情况表.docx</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供应商提供2023年1月起至今类似业绩合同，一个业绩2分（以合同签订时间为准），最高得10分。注：提供合同复印件并加盖单位公章。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近年完成类似项目情况表.docx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经资格审查、符合性审查合格的响应文件，其磋商报价为有效磋商报价。 满足磋商文件要求且最终磋商报价最低的磋商报价为评标基准价，其价格分为满分。价格分按照下列公式计算。 报价得分=（评标基准价/有效报价）×价格权重（30%）×100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详见附件：磋商一览表.docx</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详见附件：技术响应方案.docx</w:t>
      </w:r>
    </w:p>
    <w:p>
      <w:pPr>
        <w:pStyle w:val="null3"/>
        <w:ind w:firstLine="960"/>
      </w:pPr>
      <w:r>
        <w:rPr>
          <w:rFonts w:ascii="仿宋_GB2312" w:hAnsi="仿宋_GB2312" w:cs="仿宋_GB2312" w:eastAsia="仿宋_GB2312"/>
        </w:rPr>
        <w:t>详见附件：近年完成类似项目情况表.docx</w:t>
      </w:r>
    </w:p>
    <w:p>
      <w:pPr>
        <w:pStyle w:val="null3"/>
        <w:ind w:firstLine="960"/>
      </w:pPr>
      <w:r>
        <w:rPr>
          <w:rFonts w:ascii="仿宋_GB2312" w:hAnsi="仿宋_GB2312" w:cs="仿宋_GB2312" w:eastAsia="仿宋_GB2312"/>
        </w:rPr>
        <w:t>详见附件：项目经理简历表.docx</w:t>
      </w:r>
    </w:p>
    <w:p>
      <w:pPr>
        <w:pStyle w:val="null3"/>
        <w:ind w:firstLine="960"/>
      </w:pPr>
      <w:r>
        <w:rPr>
          <w:rFonts w:ascii="仿宋_GB2312" w:hAnsi="仿宋_GB2312" w:cs="仿宋_GB2312" w:eastAsia="仿宋_GB2312"/>
        </w:rPr>
        <w:t>详见附件：拟投入本项目人员配置情况表.docx</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详见附件：资质证明文件（参考格式）.docx</w:t>
      </w:r>
    </w:p>
    <w:p>
      <w:pPr>
        <w:pStyle w:val="null3"/>
        <w:ind w:firstLine="960"/>
      </w:pPr>
      <w:r>
        <w:rPr>
          <w:rFonts w:ascii="仿宋_GB2312" w:hAnsi="仿宋_GB2312" w:cs="仿宋_GB2312" w:eastAsia="仿宋_GB2312"/>
        </w:rPr>
        <w:t>详见附件：供应商拒绝政府采购领域商业贿赂承诺书.docx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