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683715">
      <w:pPr>
        <w:jc w:val="center"/>
        <w:rPr>
          <w:b/>
          <w:highlight w:val="none"/>
        </w:rPr>
      </w:pPr>
      <w:r>
        <w:rPr>
          <w:rFonts w:hint="eastAsia" w:ascii="宋体" w:hAnsi="宋体"/>
          <w:b/>
          <w:sz w:val="32"/>
          <w:szCs w:val="32"/>
          <w:highlight w:val="none"/>
        </w:rPr>
        <w:t>合同范本（仅供参考）</w:t>
      </w:r>
    </w:p>
    <w:p w14:paraId="485112EA">
      <w:pPr>
        <w:spacing w:line="360" w:lineRule="auto"/>
        <w:ind w:firstLine="482" w:firstLineChars="200"/>
        <w:rPr>
          <w:rFonts w:ascii="宋体" w:hAnsi="宋体"/>
          <w:b/>
          <w:color w:val="FF0000"/>
          <w:sz w:val="24"/>
          <w:highlight w:val="none"/>
        </w:rPr>
      </w:pPr>
    </w:p>
    <w:p w14:paraId="3166EB08">
      <w:pPr>
        <w:spacing w:line="360" w:lineRule="auto"/>
        <w:ind w:firstLine="480" w:firstLineChars="200"/>
        <w:rPr>
          <w:rFonts w:hint="eastAsia" w:ascii="宋体" w:hAnsi="宋体"/>
          <w:color w:val="auto"/>
          <w:sz w:val="24"/>
          <w:highlight w:val="none"/>
          <w:lang w:eastAsia="zh-CN"/>
        </w:rPr>
      </w:pPr>
      <w:r>
        <w:rPr>
          <w:rFonts w:hint="eastAsia" w:ascii="宋体" w:hAnsi="宋体"/>
          <w:color w:val="auto"/>
          <w:sz w:val="24"/>
          <w:highlight w:val="none"/>
          <w:lang w:eastAsia="zh-CN"/>
        </w:rPr>
        <w:t>（本合同文本仅供参考，具体合同条款由甲乙双方在签署合同时，根据项目实际需要另行协商确定，以双方最终签署的合同为准。）</w:t>
      </w:r>
    </w:p>
    <w:p w14:paraId="389266A8">
      <w:pPr>
        <w:spacing w:line="360" w:lineRule="auto"/>
        <w:ind w:firstLine="480" w:firstLineChars="200"/>
        <w:rPr>
          <w:rFonts w:ascii="宋体" w:hAnsi="宋体"/>
          <w:sz w:val="24"/>
          <w:highlight w:val="none"/>
          <w:lang w:eastAsia="zh-CN"/>
        </w:rPr>
      </w:pPr>
      <w:r>
        <w:rPr>
          <w:rFonts w:hint="eastAsia" w:ascii="宋体" w:hAnsi="宋体"/>
          <w:color w:val="auto"/>
          <w:sz w:val="24"/>
          <w:highlight w:val="none"/>
          <w:u w:val="single"/>
          <w:lang w:eastAsia="zh-CN"/>
        </w:rPr>
        <w:t xml:space="preserve"> </w:t>
      </w:r>
      <w:r>
        <w:rPr>
          <w:rFonts w:ascii="宋体" w:hAnsi="宋体"/>
          <w:color w:val="auto"/>
          <w:sz w:val="24"/>
          <w:highlight w:val="none"/>
          <w:u w:val="single"/>
          <w:lang w:eastAsia="zh-CN"/>
        </w:rPr>
        <w:t xml:space="preserve">             </w:t>
      </w:r>
      <w:r>
        <w:rPr>
          <w:rFonts w:hint="eastAsia" w:ascii="宋体" w:hAnsi="宋体"/>
          <w:color w:val="auto"/>
          <w:sz w:val="24"/>
          <w:highlight w:val="none"/>
          <w:u w:val="single"/>
          <w:lang w:eastAsia="zh-CN"/>
        </w:rPr>
        <w:t xml:space="preserve"> </w:t>
      </w:r>
      <w:r>
        <w:rPr>
          <w:rFonts w:hint="eastAsia" w:ascii="宋体" w:hAnsi="宋体"/>
          <w:color w:val="auto"/>
          <w:sz w:val="24"/>
          <w:highlight w:val="none"/>
          <w:lang w:eastAsia="zh-CN"/>
        </w:rPr>
        <w:t>（以下简称甲方）</w:t>
      </w:r>
      <w:r>
        <w:rPr>
          <w:rFonts w:hint="eastAsia" w:ascii="宋体" w:hAnsi="宋体"/>
          <w:color w:val="auto"/>
          <w:sz w:val="24"/>
          <w:highlight w:val="none"/>
          <w:u w:val="single"/>
          <w:lang w:eastAsia="zh-CN"/>
        </w:rPr>
        <w:t xml:space="preserve">     </w:t>
      </w:r>
      <w:r>
        <w:rPr>
          <w:rFonts w:ascii="宋体" w:hAnsi="宋体"/>
          <w:color w:val="auto"/>
          <w:sz w:val="24"/>
          <w:highlight w:val="none"/>
          <w:u w:val="single"/>
          <w:lang w:eastAsia="zh-CN"/>
        </w:rPr>
        <w:t xml:space="preserve">       </w:t>
      </w:r>
      <w:r>
        <w:rPr>
          <w:rFonts w:hint="eastAsia" w:ascii="宋体" w:hAnsi="宋体"/>
          <w:color w:val="auto"/>
          <w:sz w:val="24"/>
          <w:highlight w:val="none"/>
          <w:u w:val="single"/>
          <w:lang w:eastAsia="zh-CN"/>
        </w:rPr>
        <w:t xml:space="preserve">   </w:t>
      </w:r>
      <w:r>
        <w:rPr>
          <w:rFonts w:hint="eastAsia" w:ascii="宋体" w:hAnsi="宋体"/>
          <w:color w:val="auto"/>
          <w:sz w:val="24"/>
          <w:highlight w:val="none"/>
          <w:lang w:eastAsia="zh-CN"/>
        </w:rPr>
        <w:t>采购，在</w:t>
      </w:r>
      <w:r>
        <w:rPr>
          <w:rFonts w:hint="eastAsia" w:ascii="宋体" w:hAnsi="宋体"/>
          <w:color w:val="auto"/>
          <w:sz w:val="24"/>
          <w:highlight w:val="none"/>
          <w:lang w:val="en-US" w:eastAsia="zh-CN"/>
        </w:rPr>
        <w:t>西安</w:t>
      </w:r>
      <w:r>
        <w:rPr>
          <w:rFonts w:hint="eastAsia" w:ascii="宋体" w:hAnsi="宋体"/>
          <w:color w:val="auto"/>
          <w:sz w:val="24"/>
          <w:highlight w:val="none"/>
          <w:lang w:eastAsia="zh-CN"/>
        </w:rPr>
        <w:t>市财政局政府采购管理科的监督管</w:t>
      </w:r>
      <w:r>
        <w:rPr>
          <w:rFonts w:hint="eastAsia" w:ascii="宋体" w:hAnsi="宋体"/>
          <w:sz w:val="24"/>
          <w:highlight w:val="none"/>
          <w:lang w:eastAsia="zh-CN"/>
        </w:rPr>
        <w:t>理下，由</w:t>
      </w:r>
      <w:r>
        <w:rPr>
          <w:rFonts w:hint="eastAsia" w:ascii="宋体" w:hAnsi="宋体"/>
          <w:sz w:val="24"/>
          <w:highlight w:val="none"/>
          <w:u w:val="single"/>
          <w:lang w:eastAsia="zh-CN"/>
        </w:rPr>
        <w:t>陕西开源招标有限公司</w:t>
      </w:r>
      <w:r>
        <w:rPr>
          <w:rFonts w:hint="eastAsia" w:ascii="宋体" w:hAnsi="宋体"/>
          <w:sz w:val="24"/>
          <w:highlight w:val="none"/>
          <w:lang w:eastAsia="zh-CN"/>
        </w:rPr>
        <w:t>组织采购，选定</w:t>
      </w:r>
      <w:r>
        <w:rPr>
          <w:rFonts w:hint="eastAsia" w:ascii="宋体" w:hAnsi="宋体"/>
          <w:sz w:val="24"/>
          <w:highlight w:val="none"/>
          <w:u w:val="single"/>
          <w:lang w:eastAsia="zh-CN"/>
        </w:rPr>
        <w:t xml:space="preserve">         </w:t>
      </w:r>
      <w:r>
        <w:rPr>
          <w:rFonts w:hint="eastAsia" w:ascii="宋体" w:hAnsi="宋体"/>
          <w:sz w:val="24"/>
          <w:highlight w:val="none"/>
          <w:lang w:eastAsia="zh-CN"/>
        </w:rPr>
        <w:t xml:space="preserve"> (以下简称乙方）为该项目中标人。依据《中华人民共和国民法典》和《中华人民共和国政府采购法》，经甲、乙双方共同协商，按下述条款和条件签署本合同。</w:t>
      </w:r>
    </w:p>
    <w:p w14:paraId="1DAFE6F5">
      <w:pPr>
        <w:spacing w:line="360" w:lineRule="auto"/>
        <w:rPr>
          <w:rFonts w:ascii="宋体" w:hAnsi="宋体"/>
          <w:b/>
          <w:sz w:val="24"/>
          <w:highlight w:val="none"/>
          <w:lang w:eastAsia="zh-CN"/>
        </w:rPr>
      </w:pPr>
      <w:r>
        <w:rPr>
          <w:rFonts w:hint="eastAsia" w:ascii="宋体" w:hAnsi="宋体"/>
          <w:b/>
          <w:sz w:val="24"/>
          <w:highlight w:val="none"/>
          <w:lang w:eastAsia="zh-CN"/>
        </w:rPr>
        <w:t>一、合同内容</w:t>
      </w:r>
    </w:p>
    <w:p w14:paraId="1F782707">
      <w:pPr>
        <w:spacing w:line="360" w:lineRule="auto"/>
        <w:ind w:firstLine="480" w:firstLineChars="200"/>
        <w:rPr>
          <w:rFonts w:ascii="宋体" w:hAnsi="宋体"/>
          <w:sz w:val="24"/>
          <w:highlight w:val="none"/>
          <w:lang w:eastAsia="zh-CN"/>
        </w:rPr>
      </w:pPr>
      <w:r>
        <w:rPr>
          <w:rFonts w:hint="eastAsia" w:ascii="宋体" w:hAnsi="宋体"/>
          <w:sz w:val="24"/>
          <w:highlight w:val="none"/>
          <w:lang w:eastAsia="zh-CN"/>
        </w:rPr>
        <w:t>乙方负责按照合同确定的设备名称、规格型号、数量、产地、配置内容及技术标准组织供货（具体采购项目见附件1），按时运到甲方指定的交货地点；负责设备到货后的安装及系统调试；确保系统所有设备各项指标达到要求；负责操作和管理人员的培训工作，保证甲方能够正常操作和维护，同时乙方根据设备的使用特性做好售后服务。</w:t>
      </w:r>
    </w:p>
    <w:p w14:paraId="59B41571">
      <w:pPr>
        <w:spacing w:line="360" w:lineRule="auto"/>
        <w:rPr>
          <w:rFonts w:ascii="宋体" w:hAnsi="宋体"/>
          <w:b/>
          <w:sz w:val="24"/>
          <w:highlight w:val="none"/>
          <w:lang w:eastAsia="zh-CN"/>
        </w:rPr>
      </w:pPr>
      <w:r>
        <w:rPr>
          <w:rFonts w:hint="eastAsia" w:ascii="宋体" w:hAnsi="宋体"/>
          <w:b/>
          <w:sz w:val="24"/>
          <w:highlight w:val="none"/>
          <w:lang w:eastAsia="zh-CN"/>
        </w:rPr>
        <w:t>二、合同价格</w:t>
      </w:r>
    </w:p>
    <w:p w14:paraId="7E35DA0B">
      <w:pPr>
        <w:spacing w:line="360" w:lineRule="auto"/>
        <w:ind w:left="420" w:leftChars="200"/>
        <w:rPr>
          <w:rFonts w:ascii="宋体" w:hAnsi="宋体"/>
          <w:sz w:val="24"/>
          <w:highlight w:val="none"/>
          <w:lang w:eastAsia="zh-CN"/>
        </w:rPr>
      </w:pPr>
      <w:r>
        <w:rPr>
          <w:rFonts w:hint="eastAsia" w:ascii="宋体" w:hAnsi="宋体"/>
          <w:sz w:val="24"/>
          <w:highlight w:val="none"/>
          <w:lang w:eastAsia="zh-CN"/>
        </w:rPr>
        <w:t>合同总价：</w:t>
      </w:r>
      <w:r>
        <w:rPr>
          <w:rFonts w:hint="eastAsia" w:ascii="宋体" w:hAnsi="宋体"/>
          <w:sz w:val="24"/>
          <w:highlight w:val="none"/>
          <w:u w:val="single"/>
          <w:lang w:eastAsia="zh-CN"/>
        </w:rPr>
        <w:t xml:space="preserve">人民币       元整（¥         元） </w:t>
      </w:r>
    </w:p>
    <w:p w14:paraId="7943E228">
      <w:pPr>
        <w:spacing w:line="360" w:lineRule="auto"/>
        <w:rPr>
          <w:rFonts w:ascii="宋体" w:hAnsi="宋体"/>
          <w:sz w:val="24"/>
          <w:highlight w:val="none"/>
        </w:rPr>
      </w:pPr>
      <w:r>
        <w:rPr>
          <w:rFonts w:hint="eastAsia" w:ascii="宋体" w:hAnsi="宋体"/>
          <w:sz w:val="24"/>
          <w:highlight w:val="none"/>
        </w:rPr>
        <w:t>说明：</w:t>
      </w:r>
    </w:p>
    <w:p w14:paraId="2CEE60A3">
      <w:pPr>
        <w:widowControl w:val="0"/>
        <w:numPr>
          <w:ilvl w:val="0"/>
          <w:numId w:val="1"/>
        </w:numPr>
        <w:kinsoku/>
        <w:autoSpaceDE/>
        <w:autoSpaceDN/>
        <w:adjustRightInd/>
        <w:snapToGrid/>
        <w:spacing w:line="360" w:lineRule="auto"/>
        <w:ind w:firstLine="480" w:firstLineChars="200"/>
        <w:textAlignment w:val="auto"/>
        <w:rPr>
          <w:rFonts w:ascii="宋体" w:hAnsi="宋体"/>
          <w:sz w:val="24"/>
          <w:highlight w:val="none"/>
          <w:lang w:eastAsia="zh-CN"/>
        </w:rPr>
      </w:pPr>
      <w:r>
        <w:rPr>
          <w:rFonts w:hint="eastAsia" w:ascii="宋体" w:hAnsi="宋体"/>
          <w:sz w:val="24"/>
          <w:highlight w:val="none"/>
          <w:lang w:eastAsia="zh-CN"/>
        </w:rPr>
        <w:t>合同总价包含设备费、设备到达</w:t>
      </w:r>
      <w:r>
        <w:rPr>
          <w:rFonts w:hint="eastAsia" w:ascii="宋体" w:hAnsi="宋体"/>
          <w:sz w:val="24"/>
          <w:highlight w:val="none"/>
          <w:u w:val="single"/>
          <w:lang w:eastAsia="zh-CN"/>
        </w:rPr>
        <w:t xml:space="preserve">         </w:t>
      </w:r>
      <w:r>
        <w:rPr>
          <w:rFonts w:hint="eastAsia" w:ascii="宋体" w:hAnsi="宋体"/>
          <w:sz w:val="24"/>
          <w:highlight w:val="none"/>
          <w:lang w:eastAsia="zh-CN"/>
        </w:rPr>
        <w:t xml:space="preserve"> 交货地点的运杂费（含保险）、设备安装调试费、设备强制计量检测费及应缴纳的全部税款等费用。</w:t>
      </w:r>
    </w:p>
    <w:p w14:paraId="247225A5">
      <w:pPr>
        <w:widowControl w:val="0"/>
        <w:numPr>
          <w:ilvl w:val="0"/>
          <w:numId w:val="1"/>
        </w:numPr>
        <w:kinsoku/>
        <w:autoSpaceDE/>
        <w:autoSpaceDN/>
        <w:adjustRightInd/>
        <w:snapToGrid/>
        <w:spacing w:line="360" w:lineRule="auto"/>
        <w:ind w:firstLine="480" w:firstLineChars="200"/>
        <w:textAlignment w:val="auto"/>
        <w:rPr>
          <w:rFonts w:ascii="宋体" w:hAnsi="宋体"/>
          <w:sz w:val="24"/>
          <w:highlight w:val="none"/>
          <w:lang w:eastAsia="zh-CN"/>
        </w:rPr>
      </w:pPr>
      <w:r>
        <w:rPr>
          <w:rFonts w:hint="eastAsia" w:ascii="宋体" w:hAnsi="宋体"/>
          <w:sz w:val="24"/>
          <w:highlight w:val="none"/>
          <w:lang w:eastAsia="zh-CN"/>
        </w:rPr>
        <w:t>合同总价一次包死，不受市场价格变化的影响，并作为结算的唯一依据。</w:t>
      </w:r>
    </w:p>
    <w:p w14:paraId="2853AC2C">
      <w:pPr>
        <w:spacing w:line="360" w:lineRule="auto"/>
        <w:rPr>
          <w:rFonts w:ascii="宋体" w:hAnsi="宋体"/>
          <w:b/>
          <w:sz w:val="24"/>
          <w:highlight w:val="none"/>
          <w:lang w:eastAsia="zh-CN"/>
        </w:rPr>
      </w:pPr>
      <w:r>
        <w:rPr>
          <w:rFonts w:hint="eastAsia" w:ascii="宋体" w:hAnsi="宋体"/>
          <w:b/>
          <w:sz w:val="24"/>
          <w:highlight w:val="none"/>
          <w:lang w:eastAsia="zh-CN"/>
        </w:rPr>
        <w:t>三、合同款项支付</w:t>
      </w:r>
    </w:p>
    <w:p w14:paraId="01071377">
      <w:pPr>
        <w:spacing w:line="360" w:lineRule="auto"/>
        <w:ind w:firstLine="360" w:firstLineChars="150"/>
        <w:rPr>
          <w:rFonts w:ascii="宋体" w:hAnsi="宋体"/>
          <w:color w:val="auto"/>
          <w:sz w:val="24"/>
          <w:highlight w:val="none"/>
          <w:lang w:eastAsia="zh-CN"/>
        </w:rPr>
      </w:pPr>
      <w:r>
        <w:rPr>
          <w:rFonts w:hint="eastAsia" w:ascii="宋体" w:hAnsi="宋体"/>
          <w:sz w:val="24"/>
          <w:highlight w:val="none"/>
          <w:lang w:eastAsia="zh-CN"/>
        </w:rPr>
        <w:t>1、结算单位：采购人结算，在付</w:t>
      </w:r>
      <w:r>
        <w:rPr>
          <w:rFonts w:hint="eastAsia" w:ascii="宋体" w:hAnsi="宋体"/>
          <w:color w:val="auto"/>
          <w:sz w:val="24"/>
          <w:highlight w:val="none"/>
          <w:lang w:eastAsia="zh-CN"/>
        </w:rPr>
        <w:t>款前，必须开具等额发票给采购人。</w:t>
      </w:r>
    </w:p>
    <w:p w14:paraId="6B67B7DD">
      <w:pPr>
        <w:spacing w:line="360" w:lineRule="auto"/>
        <w:ind w:firstLine="360" w:firstLineChars="150"/>
        <w:rPr>
          <w:rFonts w:ascii="宋体" w:hAnsi="宋体"/>
          <w:color w:val="auto"/>
          <w:sz w:val="24"/>
          <w:highlight w:val="none"/>
          <w:lang w:eastAsia="zh-CN"/>
        </w:rPr>
      </w:pPr>
      <w:r>
        <w:rPr>
          <w:rFonts w:hint="eastAsia" w:ascii="宋体" w:hAnsi="宋体"/>
          <w:color w:val="auto"/>
          <w:sz w:val="24"/>
          <w:highlight w:val="none"/>
          <w:lang w:eastAsia="zh-CN"/>
        </w:rPr>
        <w:t>2、付款方式：</w:t>
      </w:r>
      <w:r>
        <w:rPr>
          <w:rFonts w:hint="eastAsia" w:ascii="宋体" w:hAnsi="宋体"/>
          <w:bCs/>
          <w:color w:val="auto"/>
          <w:sz w:val="24"/>
          <w:highlight w:val="none"/>
          <w:lang w:eastAsia="zh-CN"/>
        </w:rPr>
        <w:t>（此处填写内容应与</w:t>
      </w:r>
      <w:r>
        <w:rPr>
          <w:rFonts w:hint="eastAsia" w:asciiTheme="minorEastAsia" w:hAnsiTheme="minorEastAsia" w:eastAsiaTheme="minorEastAsia"/>
          <w:bCs/>
          <w:color w:val="auto"/>
          <w:sz w:val="24"/>
          <w:highlight w:val="none"/>
          <w:lang w:eastAsia="zh-CN"/>
        </w:rPr>
        <w:t>投标</w:t>
      </w:r>
      <w:r>
        <w:rPr>
          <w:rFonts w:hint="eastAsia" w:ascii="宋体" w:hAnsi="宋体"/>
          <w:bCs/>
          <w:color w:val="auto"/>
          <w:sz w:val="24"/>
          <w:highlight w:val="none"/>
          <w:lang w:eastAsia="zh-CN"/>
        </w:rPr>
        <w:t>文件一致）</w:t>
      </w:r>
    </w:p>
    <w:p w14:paraId="25C1AA70">
      <w:pPr>
        <w:spacing w:line="360" w:lineRule="auto"/>
        <w:rPr>
          <w:rFonts w:ascii="宋体" w:hAnsi="宋体"/>
          <w:b/>
          <w:color w:val="auto"/>
          <w:sz w:val="24"/>
          <w:highlight w:val="none"/>
          <w:lang w:eastAsia="zh-CN"/>
        </w:rPr>
      </w:pPr>
      <w:r>
        <w:rPr>
          <w:rFonts w:hint="eastAsia" w:ascii="宋体" w:hAnsi="宋体"/>
          <w:b/>
          <w:color w:val="auto"/>
          <w:sz w:val="24"/>
          <w:highlight w:val="none"/>
          <w:lang w:eastAsia="zh-CN"/>
        </w:rPr>
        <w:t>四、交货条件</w:t>
      </w:r>
    </w:p>
    <w:p w14:paraId="5329E322">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（一）交货地点：采购人指定地点。</w:t>
      </w:r>
    </w:p>
    <w:p w14:paraId="78887889">
      <w:pPr>
        <w:spacing w:line="360" w:lineRule="auto"/>
        <w:ind w:firstLine="480" w:firstLineChars="200"/>
        <w:rPr>
          <w:rFonts w:hint="eastAsia" w:ascii="宋体" w:hAnsi="宋体"/>
          <w:color w:val="auto"/>
          <w:sz w:val="24"/>
          <w:highlight w:val="none"/>
          <w:lang w:eastAsia="zh-CN"/>
        </w:rPr>
      </w:pPr>
      <w:r>
        <w:rPr>
          <w:rFonts w:hint="eastAsia" w:ascii="宋体" w:hAnsi="宋体"/>
          <w:color w:val="auto"/>
          <w:sz w:val="24"/>
          <w:highlight w:val="none"/>
          <w:lang w:eastAsia="zh-CN"/>
        </w:rPr>
        <w:t>（二）交货期：</w:t>
      </w:r>
      <w:r>
        <w:rPr>
          <w:rFonts w:hint="eastAsia" w:ascii="宋体" w:hAnsi="宋体"/>
          <w:bCs/>
          <w:color w:val="auto"/>
          <w:sz w:val="24"/>
          <w:highlight w:val="none"/>
          <w:lang w:eastAsia="zh-CN"/>
        </w:rPr>
        <w:t>（此处填写内容应与</w:t>
      </w:r>
      <w:r>
        <w:rPr>
          <w:rFonts w:hint="eastAsia" w:asciiTheme="minorEastAsia" w:hAnsiTheme="minorEastAsia" w:eastAsiaTheme="minorEastAsia"/>
          <w:bCs/>
          <w:color w:val="auto"/>
          <w:sz w:val="24"/>
          <w:highlight w:val="none"/>
          <w:lang w:eastAsia="zh-CN"/>
        </w:rPr>
        <w:t>投标</w:t>
      </w:r>
      <w:r>
        <w:rPr>
          <w:rFonts w:hint="eastAsia" w:ascii="宋体" w:hAnsi="宋体"/>
          <w:bCs/>
          <w:color w:val="auto"/>
          <w:sz w:val="24"/>
          <w:highlight w:val="none"/>
          <w:lang w:eastAsia="zh-CN"/>
        </w:rPr>
        <w:t>文件一致）</w:t>
      </w:r>
    </w:p>
    <w:p w14:paraId="7A307C0C">
      <w:pPr>
        <w:spacing w:line="360" w:lineRule="auto"/>
        <w:ind w:firstLine="480" w:firstLineChars="200"/>
        <w:rPr>
          <w:rFonts w:ascii="宋体" w:hAnsi="宋体"/>
          <w:b/>
          <w:color w:val="auto"/>
          <w:sz w:val="24"/>
          <w:highlight w:val="none"/>
          <w:lang w:eastAsia="zh-CN"/>
        </w:rPr>
      </w:pPr>
      <w:r>
        <w:rPr>
          <w:rFonts w:hint="eastAsia" w:ascii="宋体" w:hAnsi="宋体"/>
          <w:color w:val="auto"/>
          <w:sz w:val="24"/>
          <w:highlight w:val="none"/>
          <w:lang w:eastAsia="zh-CN"/>
        </w:rPr>
        <w:t>（三）质保期：</w:t>
      </w:r>
      <w:r>
        <w:rPr>
          <w:rFonts w:hint="eastAsia" w:ascii="宋体" w:hAnsi="宋体"/>
          <w:bCs/>
          <w:color w:val="auto"/>
          <w:sz w:val="24"/>
          <w:highlight w:val="none"/>
          <w:lang w:eastAsia="zh-CN"/>
        </w:rPr>
        <w:t>（此处填写内容应与</w:t>
      </w:r>
      <w:r>
        <w:rPr>
          <w:rFonts w:hint="eastAsia" w:asciiTheme="minorEastAsia" w:hAnsiTheme="minorEastAsia" w:eastAsiaTheme="minorEastAsia"/>
          <w:bCs/>
          <w:color w:val="auto"/>
          <w:sz w:val="24"/>
          <w:highlight w:val="none"/>
          <w:lang w:eastAsia="zh-CN"/>
        </w:rPr>
        <w:t>投标</w:t>
      </w:r>
      <w:r>
        <w:rPr>
          <w:rFonts w:hint="eastAsia" w:ascii="宋体" w:hAnsi="宋体"/>
          <w:bCs/>
          <w:color w:val="auto"/>
          <w:sz w:val="24"/>
          <w:highlight w:val="none"/>
          <w:lang w:eastAsia="zh-CN"/>
        </w:rPr>
        <w:t>文件一致）</w:t>
      </w:r>
    </w:p>
    <w:p w14:paraId="36F99177">
      <w:pPr>
        <w:pStyle w:val="2"/>
        <w:rPr>
          <w:rFonts w:ascii="宋体" w:hAnsi="宋体"/>
          <w:color w:val="auto"/>
          <w:sz w:val="24"/>
          <w:highlight w:val="none"/>
          <w:lang w:eastAsia="zh-CN"/>
        </w:rPr>
      </w:pPr>
    </w:p>
    <w:p w14:paraId="6CC6D50E">
      <w:pPr>
        <w:spacing w:line="360" w:lineRule="auto"/>
        <w:rPr>
          <w:rFonts w:ascii="宋体" w:hAnsi="宋体"/>
          <w:b/>
          <w:color w:val="auto"/>
          <w:sz w:val="24"/>
          <w:highlight w:val="none"/>
          <w:lang w:eastAsia="zh-CN"/>
        </w:rPr>
      </w:pPr>
      <w:r>
        <w:rPr>
          <w:rFonts w:hint="eastAsia" w:ascii="宋体" w:hAnsi="宋体"/>
          <w:b/>
          <w:color w:val="auto"/>
          <w:sz w:val="24"/>
          <w:highlight w:val="none"/>
          <w:lang w:eastAsia="zh-CN"/>
        </w:rPr>
        <w:t>五、包装运输</w:t>
      </w:r>
    </w:p>
    <w:p w14:paraId="353836ED">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（一）运杂费：一次包死，已包含在合同总价内，包括从产品供应地点到交货地点所包含的运输费、保险费、搬运费等一切费用。</w:t>
      </w:r>
    </w:p>
    <w:p w14:paraId="25EB8F2F">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（二）运输方式：</w:t>
      </w:r>
      <w:r>
        <w:rPr>
          <w:rFonts w:hint="eastAsia" w:ascii="宋体" w:hAnsi="宋体"/>
          <w:color w:val="auto"/>
          <w:sz w:val="24"/>
          <w:highlight w:val="none"/>
          <w:u w:val="single"/>
          <w:lang w:eastAsia="zh-CN"/>
        </w:rPr>
        <w:t xml:space="preserve">            </w:t>
      </w:r>
    </w:p>
    <w:p w14:paraId="3444825E">
      <w:pPr>
        <w:spacing w:line="360" w:lineRule="auto"/>
        <w:rPr>
          <w:rFonts w:ascii="宋体" w:hAnsi="宋体"/>
          <w:b/>
          <w:color w:val="auto"/>
          <w:sz w:val="24"/>
          <w:highlight w:val="none"/>
          <w:lang w:eastAsia="zh-CN"/>
        </w:rPr>
      </w:pPr>
      <w:r>
        <w:rPr>
          <w:rFonts w:hint="eastAsia" w:ascii="宋体" w:hAnsi="宋体"/>
          <w:b/>
          <w:color w:val="auto"/>
          <w:sz w:val="24"/>
          <w:highlight w:val="none"/>
          <w:lang w:eastAsia="zh-CN"/>
        </w:rPr>
        <w:t>六、质量保证</w:t>
      </w:r>
    </w:p>
    <w:p w14:paraId="3436D004">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（一）乙方提供给甲方的产品必须是设计科学、技术成熟、工艺优良，是用优质材料制造的、先进的、原厂生产的未曾使用过的、全新的合格产品。</w:t>
      </w:r>
    </w:p>
    <w:p w14:paraId="0D7787FD">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（二）设计技术专利、外形专利、应用软件专利等均应符合我国有关法律及行业标准，凡因以上问题与第三方发生的任何纠纷均与甲方无关。</w:t>
      </w:r>
    </w:p>
    <w:p w14:paraId="1B064F1B">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（三）安全可靠。在正常使用下不应对操作者造成任何人身伤害，如因产品质量或标示不明确而对操作者造成损失的，甲方将保留依法索赔的权利。</w:t>
      </w:r>
    </w:p>
    <w:p w14:paraId="6CD13E3B">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（四）有强制性安全标准的产品，乙方应提供该产品的制造许可证证明。</w:t>
      </w:r>
    </w:p>
    <w:p w14:paraId="18875BEA">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（五）属于国家计量检测强检的产品，供货时提供本省法定计量检测机构出具的检测证书。</w:t>
      </w:r>
    </w:p>
    <w:p w14:paraId="39857497">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（六）产品性能必须与其标示的技术指标项符合，甲方有权在产品的有效保质期内依据技术指标对该产品进行技术验收，其主要的技术参数达不到标准时，甲方有权无条件退货或依据有关法律索赔。</w:t>
      </w:r>
    </w:p>
    <w:p w14:paraId="02EF0C53">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（七）</w:t>
      </w:r>
      <w:r>
        <w:rPr>
          <w:rFonts w:hint="eastAsia" w:ascii="宋体" w:hAnsi="宋体"/>
          <w:bCs/>
          <w:color w:val="auto"/>
          <w:sz w:val="24"/>
          <w:highlight w:val="none"/>
          <w:lang w:eastAsia="zh-CN"/>
        </w:rPr>
        <w:t>乙方所提供设备质保期为_____。设备质保期按设备安装验收合格办理入库之日算起。</w:t>
      </w:r>
      <w:r>
        <w:rPr>
          <w:rFonts w:hint="eastAsia" w:ascii="宋体" w:hAnsi="宋体"/>
          <w:color w:val="auto"/>
          <w:sz w:val="24"/>
          <w:highlight w:val="none"/>
          <w:lang w:eastAsia="zh-CN"/>
        </w:rPr>
        <w:t>质保期满后如需更换零部件，只收取零部件成本费，终身免费维护保养。</w:t>
      </w:r>
    </w:p>
    <w:p w14:paraId="149CEC23">
      <w:pPr>
        <w:spacing w:line="360" w:lineRule="auto"/>
        <w:rPr>
          <w:rFonts w:ascii="宋体" w:hAnsi="宋体"/>
          <w:b/>
          <w:color w:val="auto"/>
          <w:sz w:val="24"/>
          <w:highlight w:val="none"/>
          <w:lang w:eastAsia="zh-CN"/>
        </w:rPr>
      </w:pPr>
      <w:r>
        <w:rPr>
          <w:rFonts w:hint="eastAsia" w:ascii="宋体" w:hAnsi="宋体"/>
          <w:b/>
          <w:color w:val="auto"/>
          <w:sz w:val="24"/>
          <w:highlight w:val="none"/>
          <w:lang w:eastAsia="zh-CN"/>
        </w:rPr>
        <w:t>七、技术规格及标准。（详见附件2）</w:t>
      </w:r>
    </w:p>
    <w:p w14:paraId="4CE8E78D">
      <w:pPr>
        <w:spacing w:line="360" w:lineRule="auto"/>
        <w:rPr>
          <w:rFonts w:ascii="宋体" w:hAnsi="宋体"/>
          <w:b/>
          <w:color w:val="auto"/>
          <w:sz w:val="24"/>
          <w:highlight w:val="none"/>
          <w:lang w:eastAsia="zh-CN"/>
        </w:rPr>
      </w:pPr>
      <w:r>
        <w:rPr>
          <w:rFonts w:hint="eastAsia" w:ascii="宋体" w:hAnsi="宋体"/>
          <w:b/>
          <w:color w:val="auto"/>
          <w:sz w:val="24"/>
          <w:highlight w:val="none"/>
          <w:lang w:eastAsia="zh-CN"/>
        </w:rPr>
        <w:t>八、配置清单。（详见附件3）</w:t>
      </w:r>
    </w:p>
    <w:p w14:paraId="384C9B16">
      <w:pPr>
        <w:spacing w:line="360" w:lineRule="auto"/>
        <w:rPr>
          <w:rFonts w:ascii="宋体" w:hAnsi="宋体"/>
          <w:b/>
          <w:color w:val="auto"/>
          <w:sz w:val="24"/>
          <w:highlight w:val="none"/>
          <w:lang w:eastAsia="zh-CN"/>
        </w:rPr>
      </w:pPr>
      <w:r>
        <w:rPr>
          <w:rFonts w:hint="eastAsia" w:ascii="宋体" w:hAnsi="宋体"/>
          <w:b/>
          <w:color w:val="auto"/>
          <w:sz w:val="24"/>
          <w:highlight w:val="none"/>
          <w:lang w:eastAsia="zh-CN"/>
        </w:rPr>
        <w:t>九、技术服务</w:t>
      </w:r>
    </w:p>
    <w:p w14:paraId="068AED73">
      <w:pPr>
        <w:spacing w:line="360" w:lineRule="auto"/>
        <w:ind w:firstLine="482" w:firstLineChars="200"/>
        <w:rPr>
          <w:rFonts w:ascii="宋体" w:hAnsi="宋体"/>
          <w:b/>
          <w:color w:val="auto"/>
          <w:sz w:val="24"/>
          <w:highlight w:val="none"/>
          <w:lang w:eastAsia="zh-CN"/>
        </w:rPr>
      </w:pPr>
      <w:r>
        <w:rPr>
          <w:rFonts w:hint="eastAsia" w:ascii="宋体" w:hAnsi="宋体"/>
          <w:b/>
          <w:color w:val="auto"/>
          <w:sz w:val="24"/>
          <w:highlight w:val="none"/>
          <w:lang w:eastAsia="zh-CN"/>
        </w:rPr>
        <w:t>（一）技术资料：</w:t>
      </w:r>
    </w:p>
    <w:p w14:paraId="5B6C20DD">
      <w:pPr>
        <w:spacing w:line="360" w:lineRule="auto"/>
        <w:ind w:firstLine="600" w:firstLineChars="250"/>
        <w:rPr>
          <w:rFonts w:ascii="宋体" w:hAnsi="宋体"/>
          <w:color w:val="auto"/>
          <w:sz w:val="24"/>
          <w:highlight w:val="none"/>
          <w:lang w:eastAsia="zh-CN"/>
        </w:rPr>
      </w:pPr>
      <w:r>
        <w:rPr>
          <w:rFonts w:hint="eastAsia" w:ascii="宋体" w:hAnsi="宋体"/>
          <w:color w:val="auto"/>
          <w:sz w:val="24"/>
          <w:highlight w:val="none"/>
          <w:lang w:eastAsia="zh-CN"/>
        </w:rPr>
        <w:t>1、产品合格证、商检证明。</w:t>
      </w:r>
    </w:p>
    <w:p w14:paraId="112CB687">
      <w:pPr>
        <w:spacing w:line="360" w:lineRule="auto"/>
        <w:ind w:firstLine="600" w:firstLineChars="250"/>
        <w:rPr>
          <w:rFonts w:ascii="宋体" w:hAnsi="宋体"/>
          <w:color w:val="auto"/>
          <w:sz w:val="24"/>
          <w:highlight w:val="none"/>
          <w:lang w:eastAsia="zh-CN"/>
        </w:rPr>
      </w:pPr>
      <w:r>
        <w:rPr>
          <w:rFonts w:hint="eastAsia" w:ascii="宋体" w:hAnsi="宋体"/>
          <w:color w:val="auto"/>
          <w:sz w:val="24"/>
          <w:highlight w:val="none"/>
          <w:lang w:eastAsia="zh-CN"/>
        </w:rPr>
        <w:t>2、产品使用说明书。</w:t>
      </w:r>
    </w:p>
    <w:p w14:paraId="704D6FE3">
      <w:pPr>
        <w:spacing w:line="360" w:lineRule="auto"/>
        <w:ind w:firstLine="482" w:firstLineChars="200"/>
        <w:rPr>
          <w:rFonts w:ascii="宋体" w:hAnsi="宋体"/>
          <w:color w:val="auto"/>
          <w:sz w:val="24"/>
          <w:highlight w:val="none"/>
          <w:lang w:eastAsia="zh-CN"/>
        </w:rPr>
      </w:pPr>
      <w:r>
        <w:rPr>
          <w:rFonts w:hint="eastAsia" w:ascii="宋体" w:hAnsi="宋体"/>
          <w:b/>
          <w:color w:val="auto"/>
          <w:sz w:val="24"/>
          <w:highlight w:val="none"/>
          <w:lang w:eastAsia="zh-CN"/>
        </w:rPr>
        <w:t>（二）人员培训：</w:t>
      </w:r>
      <w:r>
        <w:rPr>
          <w:rFonts w:hint="eastAsia" w:ascii="宋体" w:hAnsi="宋体"/>
          <w:color w:val="auto"/>
          <w:sz w:val="24"/>
          <w:highlight w:val="none"/>
          <w:lang w:eastAsia="zh-CN"/>
        </w:rPr>
        <w:t>免费为使用单位培训操作人员至能达到操作要求。</w:t>
      </w:r>
    </w:p>
    <w:p w14:paraId="1D96F2AB">
      <w:pPr>
        <w:spacing w:line="360" w:lineRule="auto"/>
        <w:ind w:firstLine="482" w:firstLineChars="200"/>
        <w:rPr>
          <w:rFonts w:ascii="宋体" w:hAnsi="宋体"/>
          <w:b/>
          <w:color w:val="auto"/>
          <w:sz w:val="24"/>
          <w:highlight w:val="none"/>
          <w:lang w:eastAsia="zh-CN"/>
        </w:rPr>
      </w:pPr>
      <w:r>
        <w:rPr>
          <w:rFonts w:hint="eastAsia" w:ascii="宋体" w:hAnsi="宋体"/>
          <w:b/>
          <w:color w:val="auto"/>
          <w:sz w:val="24"/>
          <w:highlight w:val="none"/>
          <w:lang w:eastAsia="zh-CN"/>
        </w:rPr>
        <w:t>（三）服务承诺：</w:t>
      </w:r>
    </w:p>
    <w:p w14:paraId="739FFC41">
      <w:pPr>
        <w:spacing w:line="360" w:lineRule="auto"/>
        <w:ind w:firstLine="600" w:firstLineChars="250"/>
        <w:rPr>
          <w:rFonts w:ascii="宋体" w:hAnsi="宋体"/>
          <w:b/>
          <w:color w:val="auto"/>
          <w:sz w:val="24"/>
          <w:highlight w:val="none"/>
          <w:lang w:eastAsia="zh-CN"/>
        </w:rPr>
      </w:pPr>
      <w:r>
        <w:rPr>
          <w:rFonts w:hint="eastAsia" w:ascii="宋体" w:hAnsi="宋体"/>
          <w:bCs/>
          <w:color w:val="auto"/>
          <w:sz w:val="24"/>
          <w:highlight w:val="none"/>
          <w:lang w:eastAsia="zh-CN"/>
        </w:rPr>
        <w:t>（此处填写内容应与</w:t>
      </w:r>
      <w:r>
        <w:rPr>
          <w:rFonts w:hint="eastAsia" w:asciiTheme="minorEastAsia" w:hAnsiTheme="minorEastAsia" w:eastAsiaTheme="minorEastAsia"/>
          <w:bCs/>
          <w:color w:val="auto"/>
          <w:sz w:val="24"/>
          <w:highlight w:val="none"/>
          <w:lang w:eastAsia="zh-CN"/>
        </w:rPr>
        <w:t>投标</w:t>
      </w:r>
      <w:r>
        <w:rPr>
          <w:rFonts w:hint="eastAsia" w:ascii="宋体" w:hAnsi="宋体"/>
          <w:bCs/>
          <w:color w:val="auto"/>
          <w:sz w:val="24"/>
          <w:highlight w:val="none"/>
          <w:lang w:eastAsia="zh-CN"/>
        </w:rPr>
        <w:t>文件一致）</w:t>
      </w:r>
    </w:p>
    <w:p w14:paraId="6918EE38">
      <w:pPr>
        <w:spacing w:line="360" w:lineRule="auto"/>
        <w:rPr>
          <w:rFonts w:ascii="宋体" w:hAnsi="宋体"/>
          <w:b/>
          <w:color w:val="auto"/>
          <w:sz w:val="24"/>
          <w:highlight w:val="none"/>
          <w:lang w:eastAsia="zh-CN"/>
        </w:rPr>
      </w:pPr>
      <w:r>
        <w:rPr>
          <w:rFonts w:hint="eastAsia" w:ascii="宋体" w:hAnsi="宋体"/>
          <w:b/>
          <w:color w:val="auto"/>
          <w:sz w:val="24"/>
          <w:highlight w:val="none"/>
          <w:lang w:eastAsia="zh-CN"/>
        </w:rPr>
        <w:t>十、违约责任</w:t>
      </w:r>
    </w:p>
    <w:p w14:paraId="0AB1C1A9">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（一）按《中华</w:t>
      </w:r>
      <w:r>
        <w:rPr>
          <w:rFonts w:ascii="宋体" w:hAnsi="宋体"/>
          <w:color w:val="auto"/>
          <w:sz w:val="24"/>
          <w:highlight w:val="none"/>
          <w:lang w:eastAsia="zh-CN"/>
        </w:rPr>
        <w:t>人民共和国</w:t>
      </w:r>
      <w:r>
        <w:rPr>
          <w:rFonts w:hint="eastAsia" w:ascii="宋体" w:hAnsi="宋体"/>
          <w:color w:val="auto"/>
          <w:sz w:val="24"/>
          <w:highlight w:val="none"/>
          <w:lang w:eastAsia="zh-CN"/>
        </w:rPr>
        <w:t>民法典》中的相关条款执行。</w:t>
      </w:r>
    </w:p>
    <w:p w14:paraId="3941A7B9">
      <w:pPr>
        <w:spacing w:line="360" w:lineRule="auto"/>
        <w:ind w:firstLine="480" w:firstLineChars="200"/>
        <w:rPr>
          <w:rFonts w:hint="eastAsia" w:ascii="宋体" w:hAnsi="宋体" w:eastAsia="宋体"/>
          <w:color w:val="auto"/>
          <w:sz w:val="24"/>
          <w:highlight w:val="none"/>
          <w:lang w:eastAsia="zh-CN"/>
        </w:rPr>
      </w:pPr>
      <w:r>
        <w:rPr>
          <w:rFonts w:hint="eastAsia" w:ascii="宋体" w:hAnsi="宋体"/>
          <w:color w:val="auto"/>
          <w:sz w:val="24"/>
          <w:highlight w:val="none"/>
          <w:lang w:eastAsia="zh-CN"/>
        </w:rPr>
        <w:t>（二）</w:t>
      </w:r>
      <w:r>
        <w:rPr>
          <w:rFonts w:hint="eastAsia" w:ascii="宋体" w:hAnsi="宋体" w:eastAsia="宋体"/>
          <w:color w:val="auto"/>
          <w:sz w:val="24"/>
          <w:highlight w:val="none"/>
          <w:lang w:eastAsia="zh-CN"/>
        </w:rPr>
        <w:t>1.供应商延迟交付货物的，应向采购人支付延迟违约金。延迟违约金的计算方法如下：每延迟一天向采购人偿付违约货款额3‰违约金，但违约金累计不超过违约货款额3%。超过10 天采购人有权解除合同，供应商承担因此给采购人造成经济损失。</w:t>
      </w:r>
    </w:p>
    <w:p w14:paraId="6143F8C7">
      <w:pPr>
        <w:spacing w:line="360" w:lineRule="auto"/>
        <w:ind w:firstLine="480" w:firstLineChars="200"/>
        <w:rPr>
          <w:rFonts w:hint="eastAsia" w:ascii="宋体" w:hAnsi="宋体" w:eastAsia="宋体"/>
          <w:color w:val="auto"/>
          <w:sz w:val="24"/>
          <w:highlight w:val="none"/>
          <w:lang w:eastAsia="zh-CN"/>
        </w:rPr>
      </w:pPr>
      <w:r>
        <w:rPr>
          <w:rFonts w:hint="eastAsia" w:ascii="宋体" w:hAnsi="宋体" w:eastAsia="宋体"/>
          <w:color w:val="auto"/>
          <w:sz w:val="24"/>
          <w:highlight w:val="none"/>
          <w:lang w:eastAsia="zh-CN"/>
        </w:rPr>
        <w:t>2.供应商提供的设备品种、型号、规格、质量达不到规定标准的，采购人有权拒收，供应商应在10日历天内更换符合要求的设备，供应商拒绝更换或更换后仍存在质量问题的，采购人有权解除合同并有权要求供应商按照合同总价款的20%向采购人支付违约金。</w:t>
      </w:r>
    </w:p>
    <w:p w14:paraId="62500E6B">
      <w:pPr>
        <w:spacing w:line="360" w:lineRule="auto"/>
        <w:ind w:firstLine="480" w:firstLineChars="200"/>
        <w:rPr>
          <w:rFonts w:hint="eastAsia" w:ascii="宋体" w:hAnsi="宋体" w:eastAsia="宋体"/>
          <w:color w:val="auto"/>
          <w:sz w:val="24"/>
          <w:highlight w:val="none"/>
          <w:lang w:eastAsia="zh-CN"/>
        </w:rPr>
      </w:pPr>
      <w:r>
        <w:rPr>
          <w:rFonts w:hint="eastAsia" w:ascii="宋体" w:hAnsi="宋体" w:eastAsia="宋体"/>
          <w:color w:val="auto"/>
          <w:sz w:val="24"/>
          <w:highlight w:val="none"/>
          <w:lang w:eastAsia="zh-CN"/>
        </w:rPr>
        <w:t>3.项目实施过程中，对全省业务正常运行影响达到6小时的，每次扣款5000元；每增加6小时，增加5000元；24小时内最高扣款金额20000元。影响全省业务正常运行超过24小时，或有必要根据实际造成的损失及影响进行责任追究的，采购人有权进行责任追究。</w:t>
      </w:r>
    </w:p>
    <w:p w14:paraId="357E8A74">
      <w:pPr>
        <w:spacing w:line="360" w:lineRule="auto"/>
        <w:ind w:firstLine="480" w:firstLineChars="200"/>
        <w:rPr>
          <w:rFonts w:hint="eastAsia" w:ascii="宋体" w:hAnsi="宋体" w:eastAsia="宋体"/>
          <w:color w:val="auto"/>
          <w:sz w:val="24"/>
          <w:highlight w:val="none"/>
          <w:lang w:eastAsia="zh-CN"/>
        </w:rPr>
      </w:pPr>
      <w:r>
        <w:rPr>
          <w:rFonts w:hint="eastAsia" w:ascii="宋体" w:hAnsi="宋体" w:eastAsia="宋体"/>
          <w:color w:val="auto"/>
          <w:sz w:val="24"/>
          <w:highlight w:val="none"/>
          <w:lang w:eastAsia="zh-CN"/>
        </w:rPr>
        <w:t>4.供应商未按合同要求提供服务或产品质量不能满足技术要求的，采购方有权要求供应商整改，供应商拒绝整改或整改后仍存在问题的，采购方有权解除合同，并有权要求供应商按照合同总价款的20%向采购方支付违约金。</w:t>
      </w:r>
    </w:p>
    <w:p w14:paraId="6E5D2729">
      <w:pPr>
        <w:spacing w:line="360" w:lineRule="auto"/>
        <w:ind w:firstLine="480" w:firstLineChars="200"/>
        <w:rPr>
          <w:rFonts w:hint="eastAsia" w:ascii="宋体" w:hAnsi="宋体" w:eastAsia="宋体"/>
          <w:color w:val="auto"/>
          <w:sz w:val="24"/>
          <w:highlight w:val="none"/>
          <w:lang w:eastAsia="zh-CN"/>
        </w:rPr>
      </w:pPr>
      <w:r>
        <w:rPr>
          <w:rFonts w:hint="eastAsia" w:ascii="宋体" w:hAnsi="宋体" w:eastAsia="宋体"/>
          <w:color w:val="auto"/>
          <w:sz w:val="24"/>
          <w:highlight w:val="none"/>
          <w:lang w:eastAsia="zh-CN"/>
        </w:rPr>
        <w:t>5.上述2、3、4项情形累计发生3次及以上，采购方除按照上述标准扣除违约金外，有权单方面解除本合同。</w:t>
      </w:r>
    </w:p>
    <w:p w14:paraId="070018BA">
      <w:pPr>
        <w:spacing w:line="360" w:lineRule="auto"/>
        <w:ind w:firstLine="480" w:firstLineChars="200"/>
        <w:rPr>
          <w:rFonts w:hint="eastAsia" w:ascii="宋体" w:hAnsi="宋体" w:eastAsia="宋体"/>
          <w:color w:val="auto"/>
          <w:sz w:val="24"/>
          <w:highlight w:val="none"/>
          <w:lang w:eastAsia="zh-CN"/>
        </w:rPr>
      </w:pPr>
      <w:r>
        <w:rPr>
          <w:rFonts w:hint="eastAsia" w:ascii="宋体" w:hAnsi="宋体" w:eastAsia="宋体"/>
          <w:color w:val="auto"/>
          <w:sz w:val="24"/>
          <w:highlight w:val="none"/>
          <w:lang w:eastAsia="zh-CN"/>
        </w:rPr>
        <w:t>6.因供应商原因，自合同签订之日起150个日历天内未完成项目所有工作内容或未提交项目交付成果，供应商应向采购方支付合同总价款的20%违约金，采购方有权从合同支付费用中扣除。</w:t>
      </w:r>
    </w:p>
    <w:p w14:paraId="723422A7">
      <w:pPr>
        <w:spacing w:line="360" w:lineRule="auto"/>
        <w:ind w:firstLine="480" w:firstLineChars="200"/>
        <w:rPr>
          <w:rFonts w:hint="eastAsia" w:ascii="宋体" w:hAnsi="宋体" w:eastAsia="宋体"/>
          <w:color w:val="auto"/>
          <w:sz w:val="24"/>
          <w:highlight w:val="none"/>
          <w:lang w:eastAsia="zh-CN"/>
        </w:rPr>
      </w:pPr>
      <w:r>
        <w:rPr>
          <w:rFonts w:hint="eastAsia" w:ascii="宋体" w:hAnsi="宋体" w:eastAsia="宋体"/>
          <w:color w:val="auto"/>
          <w:sz w:val="24"/>
          <w:highlight w:val="none"/>
          <w:lang w:eastAsia="zh-CN"/>
        </w:rPr>
        <w:t>7.上述违约金直接从未支付的合同金额中扣减，如合同剩余金额不足扣减违约金，供应商应在规定时限内向采购人支付违约金。</w:t>
      </w:r>
    </w:p>
    <w:p w14:paraId="641A3DA6">
      <w:pPr>
        <w:spacing w:line="360" w:lineRule="auto"/>
        <w:ind w:firstLine="480" w:firstLineChars="200"/>
        <w:rPr>
          <w:rFonts w:hint="eastAsia" w:ascii="宋体" w:hAnsi="宋体" w:eastAsia="宋体"/>
          <w:color w:val="auto"/>
          <w:sz w:val="24"/>
          <w:highlight w:val="none"/>
          <w:lang w:eastAsia="zh-CN"/>
        </w:rPr>
      </w:pPr>
      <w:r>
        <w:rPr>
          <w:rFonts w:hint="eastAsia" w:ascii="宋体" w:hAnsi="宋体" w:eastAsia="宋体"/>
          <w:color w:val="auto"/>
          <w:sz w:val="24"/>
          <w:highlight w:val="none"/>
          <w:lang w:eastAsia="zh-CN"/>
        </w:rPr>
        <w:t>8.因供应商原因，导致合同无法按时签订的，视为对项目的自动放弃，采购方有权取消供应商的中标或成交资格、并有权依据采购文件中的约定及相关法律规定，追究供应商的违约责任。</w:t>
      </w:r>
    </w:p>
    <w:p w14:paraId="2F421C82">
      <w:pPr>
        <w:spacing w:line="360" w:lineRule="auto"/>
        <w:ind w:firstLine="480" w:firstLineChars="200"/>
        <w:rPr>
          <w:rFonts w:hint="eastAsia" w:ascii="宋体" w:hAnsi="宋体" w:eastAsia="宋体"/>
          <w:color w:val="auto"/>
          <w:sz w:val="24"/>
          <w:highlight w:val="none"/>
          <w:lang w:eastAsia="zh-CN"/>
        </w:rPr>
      </w:pPr>
      <w:r>
        <w:rPr>
          <w:rFonts w:hint="eastAsia" w:ascii="宋体" w:hAnsi="宋体" w:eastAsia="宋体"/>
          <w:color w:val="auto"/>
          <w:sz w:val="24"/>
          <w:highlight w:val="none"/>
          <w:lang w:eastAsia="zh-CN"/>
        </w:rPr>
        <w:t>9.因供应商泄密或操作不当造成采购人利益损害，除一切后果与法律责任由供应商承担，采购人有权要求供应商赔偿经济损失。</w:t>
      </w:r>
    </w:p>
    <w:p w14:paraId="5B7319E7">
      <w:pPr>
        <w:spacing w:line="360" w:lineRule="auto"/>
        <w:ind w:firstLine="480" w:firstLineChars="200"/>
        <w:rPr>
          <w:rFonts w:ascii="宋体" w:hAnsi="宋体"/>
          <w:color w:val="auto"/>
          <w:sz w:val="24"/>
          <w:highlight w:val="none"/>
          <w:lang w:eastAsia="zh-CN"/>
        </w:rPr>
      </w:pPr>
      <w:r>
        <w:rPr>
          <w:rFonts w:hint="eastAsia" w:ascii="宋体" w:hAnsi="宋体" w:eastAsia="宋体"/>
          <w:color w:val="auto"/>
          <w:sz w:val="24"/>
          <w:highlight w:val="none"/>
          <w:lang w:eastAsia="zh-CN"/>
        </w:rPr>
        <w:t>10.供应商若违反本协议的任何一款，视为供应商违约；因供应商违约造成采购人损失的，由供应商承担全部的损失赔偿责任，包括但不限于直接经济损失及采购人因此开支的交通费、公证费、鉴定费、诉讼费、仲裁费、律师费、保全费、保全保险费等一切费用。</w:t>
      </w:r>
    </w:p>
    <w:p w14:paraId="7080A210">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（三）如有纠纷，双方友好协商解决，协商不成时可诉讼到甲方所在地人民法院解决。</w:t>
      </w:r>
    </w:p>
    <w:p w14:paraId="539EDCA0">
      <w:pPr>
        <w:pStyle w:val="2"/>
        <w:rPr>
          <w:rFonts w:hint="eastAsia"/>
          <w:highlight w:val="none"/>
          <w:lang w:eastAsia="zh-CN"/>
        </w:rPr>
      </w:pPr>
    </w:p>
    <w:p w14:paraId="0921BA60">
      <w:pPr>
        <w:spacing w:line="360" w:lineRule="auto"/>
        <w:rPr>
          <w:rFonts w:ascii="宋体" w:hAnsi="宋体"/>
          <w:b/>
          <w:color w:val="auto"/>
          <w:sz w:val="24"/>
          <w:highlight w:val="none"/>
          <w:lang w:eastAsia="zh-CN"/>
        </w:rPr>
      </w:pPr>
      <w:r>
        <w:rPr>
          <w:rFonts w:hint="eastAsia" w:ascii="宋体" w:hAnsi="宋体"/>
          <w:b/>
          <w:color w:val="auto"/>
          <w:sz w:val="24"/>
          <w:highlight w:val="none"/>
          <w:lang w:eastAsia="zh-CN"/>
        </w:rPr>
        <w:t>十一、验收</w:t>
      </w:r>
    </w:p>
    <w:p w14:paraId="6A1E4CA0">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一）通过检验的货物方可进行安装、调试、达到使用条件时由采购人负责组织验收或者邀请有关专家、质检机构、采购代理机构共同进行验收,验收费用由中标人支付(备注：如有验收须向采购代理机构支付金额2000-3000元不等)；验收合格须交接项目实施的全部资料，并填写政府采购项目验收报告单。验收须以合同、招投标文件、澄清、及国家相应的标准、规范等为依据。</w:t>
      </w:r>
    </w:p>
    <w:p w14:paraId="54A5EC61">
      <w:pPr>
        <w:spacing w:line="360" w:lineRule="auto"/>
        <w:rPr>
          <w:rFonts w:ascii="宋体" w:hAnsi="宋体"/>
          <w:b/>
          <w:color w:val="auto"/>
          <w:sz w:val="24"/>
          <w:highlight w:val="none"/>
          <w:lang w:eastAsia="zh-CN"/>
        </w:rPr>
      </w:pPr>
      <w:r>
        <w:rPr>
          <w:rFonts w:hint="eastAsia" w:ascii="宋体" w:hAnsi="宋体"/>
          <w:b/>
          <w:color w:val="auto"/>
          <w:sz w:val="24"/>
          <w:highlight w:val="none"/>
          <w:lang w:eastAsia="zh-CN"/>
        </w:rPr>
        <w:t>十二、其他事项</w:t>
      </w:r>
    </w:p>
    <w:p w14:paraId="54B621C7">
      <w:pPr>
        <w:spacing w:line="360" w:lineRule="auto"/>
        <w:ind w:firstLine="480" w:firstLineChars="200"/>
        <w:rPr>
          <w:rFonts w:ascii="宋体" w:hAnsi="宋体"/>
          <w:sz w:val="24"/>
          <w:highlight w:val="none"/>
          <w:lang w:eastAsia="zh-CN"/>
        </w:rPr>
      </w:pPr>
      <w:r>
        <w:rPr>
          <w:rFonts w:hint="eastAsia" w:ascii="宋体" w:hAnsi="宋体"/>
          <w:color w:val="auto"/>
          <w:sz w:val="24"/>
          <w:highlight w:val="none"/>
          <w:lang w:eastAsia="zh-CN"/>
        </w:rPr>
        <w:t>（一）</w:t>
      </w:r>
      <w:r>
        <w:rPr>
          <w:rFonts w:hint="eastAsia" w:ascii="宋体" w:hAnsi="宋体"/>
          <w:color w:val="auto"/>
          <w:sz w:val="24"/>
          <w:highlight w:val="none"/>
          <w:lang w:val="en-US" w:eastAsia="zh-CN"/>
        </w:rPr>
        <w:t>西安</w:t>
      </w:r>
      <w:r>
        <w:rPr>
          <w:rFonts w:hint="eastAsia" w:ascii="宋体" w:hAnsi="宋体"/>
          <w:color w:val="auto"/>
          <w:sz w:val="24"/>
          <w:highlight w:val="none"/>
          <w:lang w:eastAsia="zh-CN"/>
        </w:rPr>
        <w:t>市财政局政府采购管理科在合同的履行期间以及履行期后，可以随时检查项目的执行情况，对采购标准、采购内容进行调查</w:t>
      </w:r>
      <w:r>
        <w:rPr>
          <w:rFonts w:hint="eastAsia" w:ascii="宋体" w:hAnsi="宋体"/>
          <w:sz w:val="24"/>
          <w:highlight w:val="none"/>
          <w:lang w:eastAsia="zh-CN"/>
        </w:rPr>
        <w:t>核实，并对发现的问题进行处理。</w:t>
      </w:r>
    </w:p>
    <w:p w14:paraId="34D5947B">
      <w:pPr>
        <w:spacing w:line="360" w:lineRule="auto"/>
        <w:ind w:left="105" w:leftChars="50" w:firstLine="360" w:firstLineChars="150"/>
        <w:rPr>
          <w:rFonts w:ascii="宋体" w:hAnsi="宋体"/>
          <w:sz w:val="24"/>
          <w:highlight w:val="none"/>
          <w:lang w:eastAsia="zh-CN"/>
        </w:rPr>
      </w:pPr>
      <w:r>
        <w:rPr>
          <w:rFonts w:hint="eastAsia" w:ascii="宋体" w:hAnsi="宋体"/>
          <w:sz w:val="24"/>
          <w:highlight w:val="none"/>
          <w:lang w:eastAsia="zh-CN"/>
        </w:rPr>
        <w:t>（二）本合同一式六份，甲方</w:t>
      </w:r>
      <w:r>
        <w:rPr>
          <w:rFonts w:hint="eastAsia" w:ascii="宋体" w:hAnsi="宋体"/>
          <w:sz w:val="24"/>
          <w:highlight w:val="none"/>
          <w:u w:val="single"/>
          <w:lang w:eastAsia="zh-CN"/>
        </w:rPr>
        <w:t xml:space="preserve">         </w:t>
      </w:r>
      <w:r>
        <w:rPr>
          <w:rFonts w:hint="eastAsia" w:ascii="宋体" w:hAnsi="宋体"/>
          <w:sz w:val="24"/>
          <w:highlight w:val="none"/>
          <w:lang w:eastAsia="zh-CN"/>
        </w:rPr>
        <w:t>四份，乙方</w:t>
      </w:r>
      <w:r>
        <w:rPr>
          <w:rFonts w:hint="eastAsia" w:ascii="宋体" w:hAnsi="宋体"/>
          <w:sz w:val="24"/>
          <w:highlight w:val="none"/>
          <w:u w:val="single"/>
          <w:lang w:eastAsia="zh-CN"/>
        </w:rPr>
        <w:t xml:space="preserve">              </w:t>
      </w:r>
      <w:r>
        <w:rPr>
          <w:rFonts w:hint="eastAsia" w:ascii="宋体" w:hAnsi="宋体"/>
          <w:sz w:val="24"/>
          <w:highlight w:val="none"/>
          <w:lang w:eastAsia="zh-CN"/>
        </w:rPr>
        <w:t>一份，采购</w:t>
      </w:r>
      <w:r>
        <w:rPr>
          <w:rFonts w:ascii="宋体" w:hAnsi="宋体"/>
          <w:sz w:val="24"/>
          <w:highlight w:val="none"/>
          <w:lang w:eastAsia="zh-CN"/>
        </w:rPr>
        <w:t>代理机构</w:t>
      </w:r>
      <w:r>
        <w:rPr>
          <w:rFonts w:hint="eastAsia" w:ascii="宋体" w:hAnsi="宋体"/>
          <w:sz w:val="24"/>
          <w:highlight w:val="none"/>
          <w:lang w:eastAsia="zh-CN"/>
        </w:rPr>
        <w:t>一份，甲乙双方签字盖章后生效。</w:t>
      </w:r>
    </w:p>
    <w:p w14:paraId="51D103E8">
      <w:pPr>
        <w:spacing w:line="360" w:lineRule="auto"/>
        <w:ind w:firstLine="480" w:firstLineChars="200"/>
        <w:rPr>
          <w:rFonts w:ascii="宋体" w:hAnsi="宋体"/>
          <w:sz w:val="24"/>
          <w:highlight w:val="none"/>
          <w:lang w:eastAsia="zh-CN"/>
        </w:rPr>
      </w:pPr>
      <w:r>
        <w:rPr>
          <w:rFonts w:hint="eastAsia" w:ascii="宋体" w:hAnsi="宋体"/>
          <w:sz w:val="24"/>
          <w:highlight w:val="none"/>
          <w:lang w:eastAsia="zh-CN"/>
        </w:rPr>
        <w:t>（三）</w:t>
      </w:r>
      <w:r>
        <w:rPr>
          <w:rFonts w:hint="eastAsia" w:ascii="宋体" w:hAnsi="宋体"/>
          <w:bCs/>
          <w:sz w:val="24"/>
          <w:highlight w:val="none"/>
          <w:lang w:eastAsia="zh-CN"/>
        </w:rPr>
        <w:t>招标文件、投标文件也是合同的组成部分，合同中未约定的以招标文件、投标文件为准。</w:t>
      </w:r>
    </w:p>
    <w:p w14:paraId="03359C6F">
      <w:pPr>
        <w:spacing w:line="360" w:lineRule="auto"/>
        <w:ind w:firstLine="600" w:firstLineChars="250"/>
        <w:rPr>
          <w:rFonts w:ascii="宋体" w:hAnsi="宋体"/>
          <w:sz w:val="24"/>
          <w:highlight w:val="none"/>
          <w:lang w:eastAsia="zh-CN"/>
        </w:rPr>
      </w:pPr>
      <w:r>
        <w:rPr>
          <w:rFonts w:hint="eastAsia" w:ascii="宋体" w:hAnsi="宋体"/>
          <w:sz w:val="24"/>
          <w:highlight w:val="none"/>
          <w:lang w:eastAsia="zh-CN"/>
        </w:rPr>
        <w:t xml:space="preserve">合同签订地点：   </w:t>
      </w:r>
    </w:p>
    <w:p w14:paraId="6F862C09">
      <w:pPr>
        <w:spacing w:line="360" w:lineRule="auto"/>
        <w:ind w:firstLine="600" w:firstLineChars="250"/>
        <w:rPr>
          <w:rFonts w:ascii="宋体" w:hAnsi="宋体"/>
          <w:sz w:val="24"/>
          <w:highlight w:val="none"/>
          <w:lang w:eastAsia="zh-CN"/>
        </w:rPr>
      </w:pPr>
      <w:r>
        <w:rPr>
          <w:rFonts w:hint="eastAsia" w:ascii="宋体" w:hAnsi="宋体"/>
          <w:sz w:val="24"/>
          <w:highlight w:val="none"/>
          <w:lang w:eastAsia="zh-CN"/>
        </w:rPr>
        <w:t>合同签订时间：    年   月    日</w:t>
      </w:r>
    </w:p>
    <w:p w14:paraId="4E612AF3">
      <w:pPr>
        <w:spacing w:line="360" w:lineRule="auto"/>
        <w:rPr>
          <w:rFonts w:ascii="宋体" w:hAnsi="宋体"/>
          <w:sz w:val="24"/>
          <w:highlight w:val="none"/>
          <w:lang w:eastAsia="zh-CN"/>
        </w:rPr>
      </w:pPr>
    </w:p>
    <w:p w14:paraId="65C5D97C">
      <w:pPr>
        <w:spacing w:line="360" w:lineRule="auto"/>
        <w:rPr>
          <w:rFonts w:ascii="宋体" w:hAnsi="宋体"/>
          <w:sz w:val="24"/>
          <w:highlight w:val="none"/>
          <w:lang w:eastAsia="zh-CN"/>
        </w:rPr>
      </w:pPr>
    </w:p>
    <w:p w14:paraId="0287E136">
      <w:pPr>
        <w:spacing w:line="360" w:lineRule="auto"/>
        <w:rPr>
          <w:rFonts w:ascii="宋体" w:hAnsi="宋体"/>
          <w:sz w:val="24"/>
          <w:highlight w:val="none"/>
          <w:lang w:eastAsia="zh-CN"/>
        </w:rPr>
      </w:pPr>
      <w:r>
        <w:rPr>
          <w:rFonts w:hint="eastAsia" w:ascii="宋体" w:hAnsi="宋体"/>
          <w:sz w:val="24"/>
          <w:highlight w:val="none"/>
          <w:lang w:eastAsia="zh-CN"/>
        </w:rPr>
        <w:t>甲    方                           乙    方</w:t>
      </w:r>
    </w:p>
    <w:p w14:paraId="378AA4A9">
      <w:pPr>
        <w:spacing w:line="360" w:lineRule="auto"/>
        <w:rPr>
          <w:rFonts w:ascii="宋体" w:hAnsi="宋体"/>
          <w:sz w:val="24"/>
          <w:highlight w:val="none"/>
          <w:lang w:eastAsia="zh-CN"/>
        </w:rPr>
      </w:pPr>
      <w:r>
        <w:rPr>
          <w:rFonts w:hint="eastAsia" w:ascii="宋体" w:hAnsi="宋体"/>
          <w:sz w:val="24"/>
          <w:highlight w:val="none"/>
          <w:lang w:eastAsia="zh-CN"/>
        </w:rPr>
        <w:t xml:space="preserve">单位名称：         </w:t>
      </w:r>
      <w:r>
        <w:rPr>
          <w:rFonts w:hint="eastAsia" w:ascii="宋体" w:hAnsi="宋体"/>
          <w:sz w:val="24"/>
          <w:highlight w:val="none"/>
          <w:lang w:eastAsia="zh-CN"/>
        </w:rPr>
        <w:tab/>
      </w:r>
      <w:r>
        <w:rPr>
          <w:rFonts w:hint="eastAsia" w:ascii="宋体" w:hAnsi="宋体"/>
          <w:sz w:val="24"/>
          <w:highlight w:val="none"/>
          <w:lang w:eastAsia="zh-CN"/>
        </w:rPr>
        <w:tab/>
      </w:r>
      <w:r>
        <w:rPr>
          <w:rFonts w:hint="eastAsia" w:ascii="宋体" w:hAnsi="宋体"/>
          <w:sz w:val="24"/>
          <w:highlight w:val="none"/>
          <w:lang w:eastAsia="zh-CN"/>
        </w:rPr>
        <w:tab/>
      </w:r>
      <w:r>
        <w:rPr>
          <w:rFonts w:hint="eastAsia" w:ascii="宋体" w:hAnsi="宋体"/>
          <w:sz w:val="24"/>
          <w:highlight w:val="none"/>
          <w:lang w:eastAsia="zh-CN"/>
        </w:rPr>
        <w:tab/>
      </w:r>
      <w:r>
        <w:rPr>
          <w:rFonts w:hint="eastAsia" w:ascii="宋体" w:hAnsi="宋体"/>
          <w:sz w:val="24"/>
          <w:highlight w:val="none"/>
          <w:lang w:eastAsia="zh-CN"/>
        </w:rPr>
        <w:t xml:space="preserve">   单位名称： </w:t>
      </w:r>
    </w:p>
    <w:p w14:paraId="45716032">
      <w:pPr>
        <w:spacing w:line="360" w:lineRule="auto"/>
        <w:rPr>
          <w:rFonts w:ascii="宋体" w:hAnsi="宋体"/>
          <w:sz w:val="24"/>
          <w:highlight w:val="none"/>
        </w:rPr>
      </w:pPr>
      <w:r>
        <w:rPr>
          <w:rFonts w:hint="eastAsia" w:ascii="宋体" w:hAnsi="宋体"/>
          <w:sz w:val="24"/>
          <w:highlight w:val="none"/>
        </w:rPr>
        <w:t xml:space="preserve">地   址：  </w:t>
      </w:r>
      <w:r>
        <w:rPr>
          <w:rFonts w:hint="eastAsia" w:ascii="宋体" w:hAnsi="宋体"/>
          <w:sz w:val="24"/>
          <w:highlight w:val="none"/>
        </w:rPr>
        <w:tab/>
      </w:r>
      <w:r>
        <w:rPr>
          <w:rFonts w:hint="eastAsia" w:ascii="宋体" w:hAnsi="宋体"/>
          <w:sz w:val="24"/>
          <w:highlight w:val="none"/>
        </w:rPr>
        <w:t xml:space="preserve">       </w:t>
      </w:r>
      <w:r>
        <w:rPr>
          <w:rFonts w:hint="eastAsia" w:ascii="宋体" w:hAnsi="宋体"/>
          <w:sz w:val="24"/>
          <w:highlight w:val="none"/>
        </w:rPr>
        <w:tab/>
      </w:r>
      <w:r>
        <w:rPr>
          <w:rFonts w:hint="eastAsia" w:ascii="宋体" w:hAnsi="宋体"/>
          <w:sz w:val="24"/>
          <w:highlight w:val="none"/>
        </w:rPr>
        <w:tab/>
      </w:r>
      <w:r>
        <w:rPr>
          <w:rFonts w:hint="eastAsia" w:ascii="宋体" w:hAnsi="宋体"/>
          <w:sz w:val="24"/>
          <w:highlight w:val="none"/>
        </w:rPr>
        <w:tab/>
      </w:r>
      <w:r>
        <w:rPr>
          <w:rFonts w:hint="eastAsia" w:ascii="宋体" w:hAnsi="宋体"/>
          <w:sz w:val="24"/>
          <w:highlight w:val="none"/>
        </w:rPr>
        <w:tab/>
      </w:r>
      <w:r>
        <w:rPr>
          <w:rFonts w:hint="eastAsia" w:ascii="宋体" w:hAnsi="宋体"/>
          <w:sz w:val="24"/>
          <w:highlight w:val="none"/>
        </w:rPr>
        <w:t xml:space="preserve">   地    址：</w:t>
      </w:r>
    </w:p>
    <w:p w14:paraId="5104BFFD">
      <w:pPr>
        <w:spacing w:line="360" w:lineRule="auto"/>
        <w:rPr>
          <w:rFonts w:ascii="宋体" w:hAnsi="宋体"/>
          <w:sz w:val="24"/>
          <w:highlight w:val="none"/>
        </w:rPr>
      </w:pPr>
    </w:p>
    <w:p w14:paraId="405A0051">
      <w:pPr>
        <w:spacing w:line="360" w:lineRule="auto"/>
        <w:rPr>
          <w:rFonts w:ascii="宋体" w:hAnsi="宋体"/>
          <w:sz w:val="24"/>
          <w:highlight w:val="none"/>
        </w:rPr>
      </w:pPr>
    </w:p>
    <w:p w14:paraId="55132E96">
      <w:pPr>
        <w:spacing w:line="360" w:lineRule="auto"/>
        <w:rPr>
          <w:rFonts w:ascii="宋体" w:hAnsi="宋体"/>
          <w:sz w:val="24"/>
          <w:highlight w:val="none"/>
        </w:rPr>
      </w:pPr>
      <w:r>
        <w:rPr>
          <w:rFonts w:hint="eastAsia" w:ascii="宋体" w:hAnsi="宋体"/>
          <w:sz w:val="24"/>
          <w:highlight w:val="none"/>
        </w:rPr>
        <w:t xml:space="preserve">法人代表：                         法人代表： </w:t>
      </w:r>
    </w:p>
    <w:p w14:paraId="4DA59CF2">
      <w:pPr>
        <w:spacing w:line="360" w:lineRule="auto"/>
        <w:rPr>
          <w:rFonts w:ascii="宋体" w:hAnsi="宋体"/>
          <w:sz w:val="24"/>
          <w:highlight w:val="none"/>
        </w:rPr>
      </w:pPr>
    </w:p>
    <w:p w14:paraId="40A2D979">
      <w:pPr>
        <w:spacing w:line="360" w:lineRule="auto"/>
        <w:rPr>
          <w:rFonts w:ascii="宋体" w:hAnsi="宋体"/>
          <w:sz w:val="24"/>
          <w:highlight w:val="none"/>
          <w:lang w:eastAsia="zh-CN"/>
        </w:rPr>
      </w:pPr>
      <w:r>
        <w:rPr>
          <w:rFonts w:hint="eastAsia" w:ascii="宋体" w:hAnsi="宋体"/>
          <w:sz w:val="24"/>
          <w:highlight w:val="none"/>
          <w:lang w:eastAsia="zh-CN"/>
        </w:rPr>
        <w:t xml:space="preserve">联系电话：               </w:t>
      </w:r>
      <w:r>
        <w:rPr>
          <w:rFonts w:hint="eastAsia" w:ascii="宋体" w:hAnsi="宋体"/>
          <w:sz w:val="24"/>
          <w:highlight w:val="none"/>
          <w:lang w:eastAsia="zh-CN"/>
        </w:rPr>
        <w:tab/>
      </w:r>
      <w:r>
        <w:rPr>
          <w:rFonts w:hint="eastAsia" w:ascii="宋体" w:hAnsi="宋体"/>
          <w:sz w:val="24"/>
          <w:highlight w:val="none"/>
          <w:lang w:eastAsia="zh-CN"/>
        </w:rPr>
        <w:tab/>
      </w:r>
      <w:r>
        <w:rPr>
          <w:rFonts w:hint="eastAsia" w:ascii="宋体" w:hAnsi="宋体"/>
          <w:sz w:val="24"/>
          <w:highlight w:val="none"/>
          <w:lang w:eastAsia="zh-CN"/>
        </w:rPr>
        <w:tab/>
      </w:r>
      <w:r>
        <w:rPr>
          <w:rFonts w:hint="eastAsia" w:ascii="宋体" w:hAnsi="宋体"/>
          <w:sz w:val="24"/>
          <w:highlight w:val="none"/>
          <w:lang w:eastAsia="zh-CN"/>
        </w:rPr>
        <w:t xml:space="preserve">联系电话： </w:t>
      </w:r>
    </w:p>
    <w:p w14:paraId="0AF6ECE2">
      <w:pPr>
        <w:spacing w:line="360" w:lineRule="auto"/>
        <w:rPr>
          <w:rFonts w:ascii="宋体" w:hAnsi="宋体"/>
          <w:sz w:val="24"/>
          <w:highlight w:val="none"/>
          <w:lang w:eastAsia="zh-CN"/>
        </w:rPr>
      </w:pPr>
      <w:r>
        <w:rPr>
          <w:rFonts w:hint="eastAsia" w:ascii="宋体" w:hAnsi="宋体"/>
          <w:sz w:val="24"/>
          <w:highlight w:val="none"/>
          <w:lang w:eastAsia="zh-CN"/>
        </w:rPr>
        <w:t xml:space="preserve">开 户 行：         </w:t>
      </w:r>
      <w:r>
        <w:rPr>
          <w:rFonts w:hint="eastAsia" w:ascii="宋体" w:hAnsi="宋体"/>
          <w:sz w:val="24"/>
          <w:highlight w:val="none"/>
          <w:lang w:eastAsia="zh-CN"/>
        </w:rPr>
        <w:tab/>
      </w:r>
      <w:r>
        <w:rPr>
          <w:rFonts w:hint="eastAsia" w:ascii="宋体" w:hAnsi="宋体"/>
          <w:sz w:val="24"/>
          <w:highlight w:val="none"/>
          <w:lang w:eastAsia="zh-CN"/>
        </w:rPr>
        <w:tab/>
      </w:r>
      <w:r>
        <w:rPr>
          <w:rFonts w:hint="eastAsia" w:ascii="宋体" w:hAnsi="宋体"/>
          <w:sz w:val="24"/>
          <w:highlight w:val="none"/>
          <w:lang w:eastAsia="zh-CN"/>
        </w:rPr>
        <w:tab/>
      </w:r>
      <w:r>
        <w:rPr>
          <w:rFonts w:hint="eastAsia" w:ascii="宋体" w:hAnsi="宋体"/>
          <w:sz w:val="24"/>
          <w:highlight w:val="none"/>
          <w:lang w:eastAsia="zh-CN"/>
        </w:rPr>
        <w:tab/>
      </w:r>
      <w:r>
        <w:rPr>
          <w:rFonts w:hint="eastAsia" w:ascii="宋体" w:hAnsi="宋体"/>
          <w:sz w:val="24"/>
          <w:highlight w:val="none"/>
          <w:lang w:eastAsia="zh-CN"/>
        </w:rPr>
        <w:tab/>
      </w:r>
      <w:r>
        <w:rPr>
          <w:rFonts w:hint="eastAsia" w:ascii="宋体" w:hAnsi="宋体"/>
          <w:sz w:val="24"/>
          <w:highlight w:val="none"/>
          <w:lang w:eastAsia="zh-CN"/>
        </w:rPr>
        <w:t xml:space="preserve">开 户 行： </w:t>
      </w:r>
    </w:p>
    <w:p w14:paraId="0EB6EB7B">
      <w:pPr>
        <w:spacing w:line="360" w:lineRule="auto"/>
        <w:rPr>
          <w:rFonts w:ascii="宋体" w:hAnsi="宋体"/>
          <w:sz w:val="24"/>
          <w:highlight w:val="none"/>
          <w:lang w:eastAsia="zh-CN"/>
        </w:rPr>
      </w:pPr>
      <w:r>
        <w:rPr>
          <w:rFonts w:hint="eastAsia" w:ascii="宋体" w:hAnsi="宋体"/>
          <w:sz w:val="24"/>
          <w:highlight w:val="none"/>
          <w:lang w:eastAsia="zh-CN"/>
        </w:rPr>
        <w:t xml:space="preserve">账    号：             </w:t>
      </w:r>
      <w:r>
        <w:rPr>
          <w:rFonts w:hint="eastAsia" w:ascii="宋体" w:hAnsi="宋体"/>
          <w:sz w:val="24"/>
          <w:highlight w:val="none"/>
          <w:lang w:eastAsia="zh-CN"/>
        </w:rPr>
        <w:tab/>
      </w:r>
      <w:r>
        <w:rPr>
          <w:rFonts w:hint="eastAsia" w:ascii="宋体" w:hAnsi="宋体"/>
          <w:sz w:val="24"/>
          <w:highlight w:val="none"/>
          <w:lang w:eastAsia="zh-CN"/>
        </w:rPr>
        <w:tab/>
      </w:r>
      <w:r>
        <w:rPr>
          <w:rFonts w:hint="eastAsia" w:ascii="宋体" w:hAnsi="宋体"/>
          <w:sz w:val="24"/>
          <w:highlight w:val="none"/>
          <w:lang w:eastAsia="zh-CN"/>
        </w:rPr>
        <w:tab/>
      </w:r>
      <w:r>
        <w:rPr>
          <w:rFonts w:hint="eastAsia" w:ascii="宋体" w:hAnsi="宋体"/>
          <w:sz w:val="24"/>
          <w:highlight w:val="none"/>
          <w:lang w:eastAsia="zh-CN"/>
        </w:rPr>
        <w:t xml:space="preserve"> </w:t>
      </w:r>
      <w:r>
        <w:rPr>
          <w:rFonts w:hint="eastAsia" w:ascii="宋体" w:hAnsi="宋体"/>
          <w:sz w:val="24"/>
          <w:highlight w:val="none"/>
          <w:lang w:eastAsia="zh-CN"/>
        </w:rPr>
        <w:tab/>
      </w:r>
      <w:r>
        <w:rPr>
          <w:rFonts w:hint="eastAsia" w:ascii="宋体" w:hAnsi="宋体"/>
          <w:sz w:val="24"/>
          <w:highlight w:val="none"/>
          <w:lang w:eastAsia="zh-CN"/>
        </w:rPr>
        <w:t>账    号：</w:t>
      </w:r>
    </w:p>
    <w:p w14:paraId="4A8EBD92">
      <w:pPr>
        <w:spacing w:line="360" w:lineRule="auto"/>
        <w:rPr>
          <w:rFonts w:ascii="宋体" w:hAnsi="宋体"/>
          <w:b/>
          <w:bCs/>
          <w:sz w:val="24"/>
          <w:highlight w:val="none"/>
          <w:lang w:eastAsia="zh-CN"/>
        </w:rPr>
      </w:pPr>
    </w:p>
    <w:p w14:paraId="605EB176">
      <w:pPr>
        <w:bidi w:val="0"/>
        <w:rPr>
          <w:rFonts w:ascii="宋体" w:hAnsi="宋体"/>
          <w:b/>
          <w:bCs/>
          <w:sz w:val="24"/>
          <w:highlight w:val="none"/>
          <w:lang w:eastAsia="zh-CN"/>
        </w:rPr>
      </w:pPr>
    </w:p>
    <w:p w14:paraId="7BA5EA79">
      <w:pPr>
        <w:bidi w:val="0"/>
        <w:rPr>
          <w:rFonts w:ascii="宋体" w:hAnsi="宋体"/>
          <w:b/>
          <w:bCs/>
          <w:sz w:val="24"/>
          <w:highlight w:val="none"/>
          <w:lang w:eastAsia="zh-CN"/>
        </w:rPr>
      </w:pPr>
    </w:p>
    <w:p w14:paraId="06525EA3">
      <w:pPr>
        <w:bidi w:val="0"/>
        <w:rPr>
          <w:rFonts w:ascii="宋体" w:hAnsi="宋体"/>
          <w:b/>
          <w:bCs/>
          <w:sz w:val="24"/>
          <w:highlight w:val="none"/>
          <w:lang w:eastAsia="zh-CN"/>
        </w:rPr>
      </w:pPr>
    </w:p>
    <w:p w14:paraId="2853D38A">
      <w:pPr>
        <w:bidi w:val="0"/>
        <w:rPr>
          <w:rFonts w:ascii="宋体" w:hAnsi="宋体"/>
          <w:b/>
          <w:bCs/>
          <w:sz w:val="24"/>
          <w:highlight w:val="none"/>
          <w:lang w:eastAsia="zh-CN"/>
        </w:rPr>
      </w:pPr>
    </w:p>
    <w:p w14:paraId="7E26820C">
      <w:pPr>
        <w:bidi w:val="0"/>
        <w:rPr>
          <w:rFonts w:ascii="宋体" w:hAnsi="宋体"/>
          <w:b/>
          <w:bCs/>
          <w:sz w:val="24"/>
          <w:highlight w:val="none"/>
          <w:lang w:eastAsia="zh-CN"/>
        </w:rPr>
      </w:pPr>
    </w:p>
    <w:p w14:paraId="6FA564B4">
      <w:pPr>
        <w:bidi w:val="0"/>
        <w:rPr>
          <w:rFonts w:ascii="宋体" w:hAnsi="宋体"/>
          <w:b/>
          <w:bCs/>
          <w:sz w:val="24"/>
          <w:highlight w:val="none"/>
          <w:lang w:eastAsia="zh-CN"/>
        </w:rPr>
      </w:pPr>
    </w:p>
    <w:p w14:paraId="2D4EE7A0">
      <w:pPr>
        <w:bidi w:val="0"/>
        <w:rPr>
          <w:rFonts w:ascii="宋体" w:hAnsi="宋体"/>
          <w:b/>
          <w:bCs/>
          <w:sz w:val="24"/>
          <w:highlight w:val="none"/>
          <w:lang w:eastAsia="zh-CN"/>
        </w:rPr>
      </w:pPr>
    </w:p>
    <w:p w14:paraId="19D6B172">
      <w:pPr>
        <w:bidi w:val="0"/>
        <w:rPr>
          <w:rFonts w:ascii="宋体" w:hAnsi="宋体"/>
          <w:b/>
          <w:bCs/>
          <w:sz w:val="24"/>
          <w:highlight w:val="none"/>
          <w:lang w:eastAsia="zh-CN"/>
        </w:rPr>
      </w:pPr>
    </w:p>
    <w:p w14:paraId="4F9D167D">
      <w:pPr>
        <w:bidi w:val="0"/>
        <w:rPr>
          <w:rFonts w:ascii="宋体" w:hAnsi="宋体"/>
          <w:b/>
          <w:bCs/>
          <w:sz w:val="24"/>
          <w:highlight w:val="none"/>
          <w:lang w:eastAsia="zh-CN"/>
        </w:rPr>
      </w:pPr>
    </w:p>
    <w:p w14:paraId="1C9944B2">
      <w:pPr>
        <w:bidi w:val="0"/>
        <w:rPr>
          <w:rFonts w:ascii="宋体" w:hAnsi="宋体"/>
          <w:b/>
          <w:bCs/>
          <w:sz w:val="24"/>
          <w:highlight w:val="none"/>
          <w:lang w:eastAsia="zh-CN"/>
        </w:rPr>
      </w:pPr>
    </w:p>
    <w:p w14:paraId="60419A40">
      <w:pPr>
        <w:bidi w:val="0"/>
        <w:rPr>
          <w:rFonts w:ascii="宋体" w:hAnsi="宋体"/>
          <w:b/>
          <w:bCs/>
          <w:sz w:val="24"/>
          <w:highlight w:val="none"/>
          <w:lang w:eastAsia="zh-CN"/>
        </w:rPr>
      </w:pPr>
    </w:p>
    <w:p w14:paraId="124A894F">
      <w:pPr>
        <w:bidi w:val="0"/>
        <w:rPr>
          <w:rFonts w:ascii="宋体" w:hAnsi="宋体"/>
          <w:b/>
          <w:bCs/>
          <w:sz w:val="24"/>
          <w:highlight w:val="none"/>
          <w:lang w:eastAsia="zh-CN"/>
        </w:rPr>
      </w:pPr>
    </w:p>
    <w:p w14:paraId="72168F7E">
      <w:pPr>
        <w:bidi w:val="0"/>
        <w:rPr>
          <w:rFonts w:ascii="宋体" w:hAnsi="宋体"/>
          <w:b/>
          <w:bCs/>
          <w:sz w:val="24"/>
          <w:highlight w:val="none"/>
          <w:lang w:eastAsia="zh-CN"/>
        </w:rPr>
      </w:pPr>
    </w:p>
    <w:p w14:paraId="783F4081">
      <w:pPr>
        <w:bidi w:val="0"/>
        <w:rPr>
          <w:rFonts w:ascii="宋体" w:hAnsi="宋体"/>
          <w:b/>
          <w:bCs/>
          <w:sz w:val="24"/>
          <w:highlight w:val="none"/>
          <w:lang w:eastAsia="zh-CN"/>
        </w:rPr>
      </w:pPr>
    </w:p>
    <w:p w14:paraId="7C718791">
      <w:pPr>
        <w:bidi w:val="0"/>
        <w:rPr>
          <w:rFonts w:ascii="宋体" w:hAnsi="宋体"/>
          <w:b/>
          <w:bCs/>
          <w:sz w:val="24"/>
          <w:highlight w:val="none"/>
          <w:lang w:eastAsia="zh-CN"/>
        </w:rPr>
      </w:pPr>
    </w:p>
    <w:p w14:paraId="29587267">
      <w:pPr>
        <w:bidi w:val="0"/>
        <w:rPr>
          <w:rFonts w:ascii="宋体" w:hAnsi="宋体"/>
          <w:b/>
          <w:bCs/>
          <w:sz w:val="24"/>
          <w:highlight w:val="none"/>
          <w:lang w:eastAsia="zh-CN"/>
        </w:rPr>
      </w:pPr>
    </w:p>
    <w:p w14:paraId="1768056B">
      <w:pPr>
        <w:bidi w:val="0"/>
        <w:rPr>
          <w:rFonts w:ascii="宋体" w:hAnsi="宋体"/>
          <w:b/>
          <w:bCs/>
          <w:sz w:val="24"/>
          <w:highlight w:val="none"/>
          <w:lang w:eastAsia="zh-CN"/>
        </w:rPr>
      </w:pPr>
    </w:p>
    <w:p w14:paraId="7FC00DFB">
      <w:pPr>
        <w:bidi w:val="0"/>
        <w:rPr>
          <w:rFonts w:ascii="宋体" w:hAnsi="宋体"/>
          <w:b/>
          <w:bCs/>
          <w:sz w:val="24"/>
          <w:highlight w:val="none"/>
          <w:lang w:eastAsia="zh-CN"/>
        </w:rPr>
      </w:pPr>
    </w:p>
    <w:p w14:paraId="2C6C08AA">
      <w:pPr>
        <w:bidi w:val="0"/>
        <w:rPr>
          <w:rFonts w:ascii="宋体" w:hAnsi="宋体"/>
          <w:b/>
          <w:bCs/>
          <w:sz w:val="24"/>
          <w:highlight w:val="none"/>
          <w:lang w:eastAsia="zh-CN"/>
        </w:rPr>
      </w:pPr>
    </w:p>
    <w:p w14:paraId="314A121F">
      <w:pPr>
        <w:bidi w:val="0"/>
        <w:rPr>
          <w:rFonts w:ascii="宋体" w:hAnsi="宋体"/>
          <w:b/>
          <w:bCs/>
          <w:sz w:val="24"/>
          <w:highlight w:val="none"/>
          <w:lang w:eastAsia="zh-CN"/>
        </w:rPr>
      </w:pPr>
    </w:p>
    <w:p w14:paraId="706787DA">
      <w:pPr>
        <w:bidi w:val="0"/>
        <w:rPr>
          <w:rFonts w:ascii="宋体" w:hAnsi="宋体"/>
          <w:b/>
          <w:bCs/>
          <w:sz w:val="24"/>
          <w:highlight w:val="none"/>
          <w:lang w:eastAsia="zh-CN"/>
        </w:rPr>
      </w:pPr>
    </w:p>
    <w:p w14:paraId="2CD16BA5">
      <w:pPr>
        <w:bidi w:val="0"/>
        <w:rPr>
          <w:rFonts w:ascii="宋体" w:hAnsi="宋体"/>
          <w:b/>
          <w:bCs/>
          <w:sz w:val="24"/>
          <w:highlight w:val="none"/>
          <w:lang w:eastAsia="zh-CN"/>
        </w:rPr>
      </w:pPr>
    </w:p>
    <w:p w14:paraId="7BE69953">
      <w:pPr>
        <w:bidi w:val="0"/>
        <w:rPr>
          <w:rFonts w:ascii="宋体" w:hAnsi="宋体"/>
          <w:b/>
          <w:bCs/>
          <w:sz w:val="24"/>
          <w:highlight w:val="none"/>
          <w:lang w:eastAsia="zh-CN"/>
        </w:rPr>
      </w:pPr>
    </w:p>
    <w:p w14:paraId="4BE4A0DF">
      <w:pPr>
        <w:bidi w:val="0"/>
        <w:rPr>
          <w:rFonts w:ascii="宋体" w:hAnsi="宋体"/>
          <w:b/>
          <w:bCs/>
          <w:sz w:val="24"/>
          <w:highlight w:val="none"/>
          <w:lang w:eastAsia="zh-CN"/>
        </w:rPr>
      </w:pPr>
    </w:p>
    <w:p w14:paraId="2C29B780">
      <w:pPr>
        <w:bidi w:val="0"/>
        <w:jc w:val="left"/>
        <w:rPr>
          <w:rFonts w:ascii="宋体" w:hAnsi="宋体"/>
          <w:b/>
          <w:bCs/>
          <w:sz w:val="24"/>
          <w:highlight w:val="none"/>
          <w:lang w:eastAsia="zh-CN"/>
        </w:rPr>
      </w:pPr>
      <w:r>
        <w:rPr>
          <w:rFonts w:ascii="宋体" w:hAnsi="宋体"/>
          <w:b/>
          <w:bCs/>
          <w:sz w:val="24"/>
          <w:highlight w:val="none"/>
          <w:lang w:eastAsia="zh-CN"/>
        </w:rPr>
        <w:br w:type="page"/>
      </w:r>
      <w:r>
        <w:rPr>
          <w:rFonts w:hint="eastAsia" w:ascii="宋体" w:hAnsi="宋体"/>
          <w:b/>
          <w:bCs/>
          <w:sz w:val="24"/>
          <w:highlight w:val="none"/>
          <w:lang w:eastAsia="zh-CN"/>
        </w:rPr>
        <w:t>附件1 采购内容</w:t>
      </w:r>
    </w:p>
    <w:tbl>
      <w:tblPr>
        <w:tblStyle w:val="3"/>
        <w:tblpPr w:leftFromText="180" w:rightFromText="180" w:vertAnchor="text" w:horzAnchor="page" w:tblpX="1137" w:tblpY="339"/>
        <w:tblOverlap w:val="never"/>
        <w:tblW w:w="105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1227"/>
        <w:gridCol w:w="850"/>
        <w:gridCol w:w="996"/>
        <w:gridCol w:w="702"/>
        <w:gridCol w:w="1278"/>
        <w:gridCol w:w="708"/>
        <w:gridCol w:w="752"/>
        <w:gridCol w:w="1243"/>
        <w:gridCol w:w="1148"/>
        <w:gridCol w:w="819"/>
      </w:tblGrid>
      <w:tr w14:paraId="3E074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66" w:type="dxa"/>
            <w:vAlign w:val="center"/>
          </w:tcPr>
          <w:p w14:paraId="54AAA04D">
            <w:pPr>
              <w:tabs>
                <w:tab w:val="left" w:pos="810"/>
              </w:tabs>
              <w:spacing w:line="360" w:lineRule="auto"/>
              <w:jc w:val="center"/>
              <w:rPr>
                <w:rFonts w:ascii="宋体" w:hAnsi="宋体"/>
                <w:bCs/>
                <w:sz w:val="24"/>
                <w:highlight w:val="none"/>
              </w:rPr>
            </w:pPr>
            <w:r>
              <w:rPr>
                <w:rFonts w:hint="eastAsia" w:ascii="宋体" w:hAnsi="宋体"/>
                <w:bCs/>
                <w:sz w:val="24"/>
                <w:highlight w:val="none"/>
              </w:rPr>
              <w:t>序号</w:t>
            </w:r>
          </w:p>
        </w:tc>
        <w:tc>
          <w:tcPr>
            <w:tcW w:w="1227" w:type="dxa"/>
            <w:vAlign w:val="center"/>
          </w:tcPr>
          <w:p w14:paraId="77CD97FC">
            <w:pPr>
              <w:tabs>
                <w:tab w:val="left" w:pos="810"/>
              </w:tabs>
              <w:spacing w:line="360" w:lineRule="auto"/>
              <w:jc w:val="center"/>
              <w:rPr>
                <w:rFonts w:ascii="宋体" w:hAnsi="宋体"/>
                <w:bCs/>
                <w:sz w:val="24"/>
                <w:highlight w:val="none"/>
              </w:rPr>
            </w:pPr>
            <w:r>
              <w:rPr>
                <w:rFonts w:hint="eastAsia" w:ascii="宋体" w:hAnsi="宋体"/>
                <w:bCs/>
                <w:sz w:val="24"/>
                <w:highlight w:val="none"/>
              </w:rPr>
              <w:t>产品名称</w:t>
            </w:r>
          </w:p>
        </w:tc>
        <w:tc>
          <w:tcPr>
            <w:tcW w:w="850" w:type="dxa"/>
            <w:vAlign w:val="center"/>
          </w:tcPr>
          <w:p w14:paraId="207B35C6">
            <w:pPr>
              <w:tabs>
                <w:tab w:val="left" w:pos="810"/>
              </w:tabs>
              <w:spacing w:line="360" w:lineRule="auto"/>
              <w:jc w:val="center"/>
              <w:rPr>
                <w:rFonts w:ascii="宋体" w:hAnsi="宋体"/>
                <w:bCs/>
                <w:sz w:val="24"/>
                <w:highlight w:val="none"/>
              </w:rPr>
            </w:pPr>
            <w:r>
              <w:rPr>
                <w:rFonts w:hint="eastAsia" w:ascii="宋体" w:hAnsi="宋体"/>
                <w:bCs/>
                <w:sz w:val="24"/>
                <w:highlight w:val="none"/>
              </w:rPr>
              <w:t>型号</w:t>
            </w:r>
          </w:p>
        </w:tc>
        <w:tc>
          <w:tcPr>
            <w:tcW w:w="996" w:type="dxa"/>
            <w:vAlign w:val="center"/>
          </w:tcPr>
          <w:p w14:paraId="2592D7D1">
            <w:pPr>
              <w:tabs>
                <w:tab w:val="left" w:pos="810"/>
              </w:tabs>
              <w:spacing w:line="360" w:lineRule="auto"/>
              <w:jc w:val="center"/>
              <w:rPr>
                <w:rFonts w:hint="eastAsia" w:ascii="宋体" w:hAnsi="宋体" w:eastAsia="宋体"/>
                <w:bCs/>
                <w:sz w:val="24"/>
                <w:highlight w:val="none"/>
                <w:lang w:val="en-US" w:eastAsia="zh-CN"/>
              </w:rPr>
            </w:pPr>
            <w:r>
              <w:rPr>
                <w:rFonts w:hint="eastAsia" w:ascii="宋体" w:hAnsi="宋体" w:eastAsia="宋体"/>
                <w:bCs/>
                <w:sz w:val="24"/>
                <w:highlight w:val="none"/>
                <w:lang w:val="en-US" w:eastAsia="zh-CN"/>
              </w:rPr>
              <w:t>注册证号（或备案凭证号）</w:t>
            </w:r>
          </w:p>
        </w:tc>
        <w:tc>
          <w:tcPr>
            <w:tcW w:w="702" w:type="dxa"/>
            <w:vAlign w:val="center"/>
          </w:tcPr>
          <w:p w14:paraId="0A7C7567">
            <w:pPr>
              <w:tabs>
                <w:tab w:val="left" w:pos="810"/>
              </w:tabs>
              <w:spacing w:line="360" w:lineRule="auto"/>
              <w:jc w:val="center"/>
              <w:rPr>
                <w:rFonts w:ascii="宋体" w:hAnsi="宋体"/>
                <w:bCs/>
                <w:sz w:val="24"/>
                <w:highlight w:val="none"/>
              </w:rPr>
            </w:pPr>
            <w:r>
              <w:rPr>
                <w:rFonts w:hint="eastAsia" w:ascii="宋体" w:hAnsi="宋体"/>
                <w:bCs/>
                <w:sz w:val="24"/>
                <w:highlight w:val="none"/>
              </w:rPr>
              <w:t>产地</w:t>
            </w:r>
          </w:p>
        </w:tc>
        <w:tc>
          <w:tcPr>
            <w:tcW w:w="1278" w:type="dxa"/>
            <w:vAlign w:val="center"/>
          </w:tcPr>
          <w:p w14:paraId="7BBCE18C">
            <w:pPr>
              <w:tabs>
                <w:tab w:val="left" w:pos="810"/>
              </w:tabs>
              <w:spacing w:line="360" w:lineRule="auto"/>
              <w:jc w:val="center"/>
              <w:rPr>
                <w:rFonts w:ascii="宋体" w:hAnsi="宋体"/>
                <w:bCs/>
                <w:sz w:val="24"/>
                <w:highlight w:val="none"/>
              </w:rPr>
            </w:pPr>
            <w:r>
              <w:rPr>
                <w:rFonts w:hint="eastAsia" w:ascii="宋体" w:hAnsi="宋体"/>
                <w:bCs/>
                <w:sz w:val="24"/>
                <w:highlight w:val="none"/>
              </w:rPr>
              <w:t>生产厂家</w:t>
            </w:r>
          </w:p>
        </w:tc>
        <w:tc>
          <w:tcPr>
            <w:tcW w:w="708" w:type="dxa"/>
            <w:vAlign w:val="center"/>
          </w:tcPr>
          <w:p w14:paraId="3B3A69FF">
            <w:pPr>
              <w:tabs>
                <w:tab w:val="left" w:pos="810"/>
              </w:tabs>
              <w:spacing w:line="360" w:lineRule="auto"/>
              <w:jc w:val="center"/>
              <w:rPr>
                <w:rFonts w:ascii="宋体" w:hAnsi="宋体"/>
                <w:bCs/>
                <w:sz w:val="24"/>
                <w:highlight w:val="none"/>
              </w:rPr>
            </w:pPr>
            <w:r>
              <w:rPr>
                <w:rFonts w:hint="eastAsia" w:ascii="宋体" w:hAnsi="宋体"/>
                <w:bCs/>
                <w:sz w:val="24"/>
                <w:highlight w:val="none"/>
              </w:rPr>
              <w:t>单位</w:t>
            </w:r>
          </w:p>
        </w:tc>
        <w:tc>
          <w:tcPr>
            <w:tcW w:w="752" w:type="dxa"/>
            <w:vAlign w:val="center"/>
          </w:tcPr>
          <w:p w14:paraId="3573D1C5">
            <w:pPr>
              <w:tabs>
                <w:tab w:val="left" w:pos="810"/>
              </w:tabs>
              <w:spacing w:line="360" w:lineRule="auto"/>
              <w:jc w:val="center"/>
              <w:rPr>
                <w:rFonts w:ascii="宋体" w:hAnsi="宋体"/>
                <w:bCs/>
                <w:sz w:val="24"/>
                <w:highlight w:val="none"/>
              </w:rPr>
            </w:pPr>
            <w:r>
              <w:rPr>
                <w:rFonts w:hint="eastAsia" w:ascii="宋体" w:hAnsi="宋体"/>
                <w:bCs/>
                <w:sz w:val="24"/>
                <w:highlight w:val="none"/>
              </w:rPr>
              <w:t>数量</w:t>
            </w:r>
          </w:p>
        </w:tc>
        <w:tc>
          <w:tcPr>
            <w:tcW w:w="1243" w:type="dxa"/>
            <w:vAlign w:val="center"/>
          </w:tcPr>
          <w:p w14:paraId="377A2006">
            <w:pPr>
              <w:tabs>
                <w:tab w:val="left" w:pos="810"/>
              </w:tabs>
              <w:spacing w:line="360" w:lineRule="auto"/>
              <w:jc w:val="center"/>
              <w:rPr>
                <w:rFonts w:ascii="宋体" w:hAnsi="宋体"/>
                <w:bCs/>
                <w:sz w:val="24"/>
                <w:highlight w:val="none"/>
              </w:rPr>
            </w:pPr>
            <w:r>
              <w:rPr>
                <w:rFonts w:hint="eastAsia" w:ascii="宋体" w:hAnsi="宋体"/>
                <w:bCs/>
                <w:sz w:val="24"/>
                <w:highlight w:val="none"/>
              </w:rPr>
              <w:t>单价</w:t>
            </w:r>
          </w:p>
          <w:p w14:paraId="00B5F385">
            <w:pPr>
              <w:tabs>
                <w:tab w:val="left" w:pos="810"/>
              </w:tabs>
              <w:spacing w:line="360" w:lineRule="auto"/>
              <w:jc w:val="center"/>
              <w:rPr>
                <w:rFonts w:ascii="宋体" w:hAnsi="宋体"/>
                <w:bCs/>
                <w:sz w:val="24"/>
                <w:highlight w:val="none"/>
              </w:rPr>
            </w:pPr>
            <w:r>
              <w:rPr>
                <w:rFonts w:hint="eastAsia" w:ascii="宋体" w:hAnsi="宋体"/>
                <w:bCs/>
                <w:sz w:val="24"/>
                <w:highlight w:val="none"/>
              </w:rPr>
              <w:t>（元）</w:t>
            </w:r>
          </w:p>
        </w:tc>
        <w:tc>
          <w:tcPr>
            <w:tcW w:w="1148" w:type="dxa"/>
            <w:vAlign w:val="center"/>
          </w:tcPr>
          <w:p w14:paraId="58FA4F4E">
            <w:pPr>
              <w:tabs>
                <w:tab w:val="left" w:pos="810"/>
              </w:tabs>
              <w:spacing w:line="360" w:lineRule="auto"/>
              <w:jc w:val="center"/>
              <w:rPr>
                <w:rFonts w:ascii="宋体" w:hAnsi="宋体"/>
                <w:bCs/>
                <w:sz w:val="24"/>
                <w:highlight w:val="none"/>
              </w:rPr>
            </w:pPr>
            <w:r>
              <w:rPr>
                <w:rFonts w:hint="eastAsia" w:ascii="宋体" w:hAnsi="宋体"/>
                <w:bCs/>
                <w:sz w:val="24"/>
                <w:highlight w:val="none"/>
              </w:rPr>
              <w:t>合计</w:t>
            </w:r>
          </w:p>
          <w:p w14:paraId="70F63E2C">
            <w:pPr>
              <w:tabs>
                <w:tab w:val="left" w:pos="810"/>
              </w:tabs>
              <w:spacing w:line="360" w:lineRule="auto"/>
              <w:jc w:val="center"/>
              <w:rPr>
                <w:rFonts w:ascii="宋体" w:hAnsi="宋体"/>
                <w:bCs/>
                <w:sz w:val="24"/>
                <w:highlight w:val="none"/>
              </w:rPr>
            </w:pPr>
            <w:r>
              <w:rPr>
                <w:rFonts w:hint="eastAsia" w:ascii="宋体" w:hAnsi="宋体"/>
                <w:bCs/>
                <w:sz w:val="24"/>
                <w:highlight w:val="none"/>
              </w:rPr>
              <w:t>（元）</w:t>
            </w:r>
          </w:p>
        </w:tc>
        <w:tc>
          <w:tcPr>
            <w:tcW w:w="819" w:type="dxa"/>
            <w:vAlign w:val="center"/>
          </w:tcPr>
          <w:p w14:paraId="4785A818">
            <w:pPr>
              <w:tabs>
                <w:tab w:val="left" w:pos="810"/>
              </w:tabs>
              <w:spacing w:line="360" w:lineRule="auto"/>
              <w:jc w:val="center"/>
              <w:rPr>
                <w:rFonts w:ascii="宋体" w:hAnsi="宋体"/>
                <w:bCs/>
                <w:sz w:val="24"/>
                <w:highlight w:val="none"/>
              </w:rPr>
            </w:pPr>
            <w:r>
              <w:rPr>
                <w:rFonts w:hint="eastAsia" w:ascii="宋体" w:hAnsi="宋体"/>
                <w:bCs/>
                <w:sz w:val="24"/>
                <w:highlight w:val="none"/>
              </w:rPr>
              <w:t>备注</w:t>
            </w:r>
          </w:p>
        </w:tc>
      </w:tr>
      <w:tr w14:paraId="74B4F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12CD9926">
            <w:pPr>
              <w:spacing w:line="360" w:lineRule="auto"/>
              <w:jc w:val="center"/>
              <w:rPr>
                <w:rFonts w:ascii="宋体" w:hAnsi="宋体"/>
                <w:bCs/>
                <w:sz w:val="24"/>
                <w:highlight w:val="none"/>
              </w:rPr>
            </w:pPr>
          </w:p>
        </w:tc>
        <w:tc>
          <w:tcPr>
            <w:tcW w:w="1227" w:type="dxa"/>
            <w:vAlign w:val="center"/>
          </w:tcPr>
          <w:p w14:paraId="731B5656">
            <w:pPr>
              <w:spacing w:line="360" w:lineRule="auto"/>
              <w:jc w:val="center"/>
              <w:rPr>
                <w:rFonts w:ascii="宋体" w:hAnsi="宋体"/>
                <w:bCs/>
                <w:sz w:val="24"/>
                <w:highlight w:val="none"/>
              </w:rPr>
            </w:pPr>
          </w:p>
        </w:tc>
        <w:tc>
          <w:tcPr>
            <w:tcW w:w="850" w:type="dxa"/>
            <w:vAlign w:val="center"/>
          </w:tcPr>
          <w:p w14:paraId="00BDF407">
            <w:pPr>
              <w:spacing w:line="360" w:lineRule="auto"/>
              <w:jc w:val="center"/>
              <w:rPr>
                <w:rFonts w:ascii="宋体" w:hAnsi="宋体"/>
                <w:bCs/>
                <w:sz w:val="24"/>
                <w:highlight w:val="none"/>
              </w:rPr>
            </w:pPr>
          </w:p>
        </w:tc>
        <w:tc>
          <w:tcPr>
            <w:tcW w:w="996" w:type="dxa"/>
            <w:vAlign w:val="center"/>
          </w:tcPr>
          <w:p w14:paraId="0CBEEB0F">
            <w:pPr>
              <w:spacing w:line="360" w:lineRule="auto"/>
              <w:jc w:val="center"/>
              <w:rPr>
                <w:rFonts w:ascii="宋体" w:hAnsi="宋体"/>
                <w:bCs/>
                <w:sz w:val="24"/>
                <w:highlight w:val="none"/>
              </w:rPr>
            </w:pPr>
          </w:p>
        </w:tc>
        <w:tc>
          <w:tcPr>
            <w:tcW w:w="702" w:type="dxa"/>
            <w:vAlign w:val="center"/>
          </w:tcPr>
          <w:p w14:paraId="77EC412D">
            <w:pPr>
              <w:spacing w:line="360" w:lineRule="auto"/>
              <w:jc w:val="center"/>
              <w:rPr>
                <w:rFonts w:ascii="宋体" w:hAnsi="宋体"/>
                <w:bCs/>
                <w:sz w:val="24"/>
                <w:highlight w:val="none"/>
              </w:rPr>
            </w:pPr>
          </w:p>
        </w:tc>
        <w:tc>
          <w:tcPr>
            <w:tcW w:w="1278" w:type="dxa"/>
            <w:vAlign w:val="center"/>
          </w:tcPr>
          <w:p w14:paraId="66EF736F">
            <w:pPr>
              <w:spacing w:line="360" w:lineRule="auto"/>
              <w:jc w:val="center"/>
              <w:rPr>
                <w:rFonts w:ascii="宋体" w:hAnsi="宋体"/>
                <w:bCs/>
                <w:sz w:val="24"/>
                <w:highlight w:val="none"/>
              </w:rPr>
            </w:pPr>
          </w:p>
        </w:tc>
        <w:tc>
          <w:tcPr>
            <w:tcW w:w="708" w:type="dxa"/>
            <w:vAlign w:val="center"/>
          </w:tcPr>
          <w:p w14:paraId="29DBD5EF">
            <w:pPr>
              <w:spacing w:line="360" w:lineRule="auto"/>
              <w:jc w:val="center"/>
              <w:rPr>
                <w:rFonts w:ascii="宋体" w:hAnsi="宋体"/>
                <w:bCs/>
                <w:sz w:val="24"/>
                <w:highlight w:val="none"/>
              </w:rPr>
            </w:pPr>
          </w:p>
        </w:tc>
        <w:tc>
          <w:tcPr>
            <w:tcW w:w="752" w:type="dxa"/>
            <w:vAlign w:val="center"/>
          </w:tcPr>
          <w:p w14:paraId="7B836249">
            <w:pPr>
              <w:spacing w:line="360" w:lineRule="auto"/>
              <w:jc w:val="center"/>
              <w:rPr>
                <w:rFonts w:ascii="宋体" w:hAnsi="宋体"/>
                <w:bCs/>
                <w:sz w:val="24"/>
                <w:highlight w:val="none"/>
              </w:rPr>
            </w:pPr>
          </w:p>
        </w:tc>
        <w:tc>
          <w:tcPr>
            <w:tcW w:w="1243" w:type="dxa"/>
            <w:vAlign w:val="center"/>
          </w:tcPr>
          <w:p w14:paraId="2F4FCF6D">
            <w:pPr>
              <w:spacing w:line="360" w:lineRule="auto"/>
              <w:jc w:val="center"/>
              <w:rPr>
                <w:rFonts w:ascii="宋体" w:hAnsi="宋体"/>
                <w:bCs/>
                <w:sz w:val="24"/>
                <w:highlight w:val="none"/>
              </w:rPr>
            </w:pPr>
          </w:p>
        </w:tc>
        <w:tc>
          <w:tcPr>
            <w:tcW w:w="1148" w:type="dxa"/>
            <w:vAlign w:val="center"/>
          </w:tcPr>
          <w:p w14:paraId="7D50B6F2">
            <w:pPr>
              <w:spacing w:line="360" w:lineRule="auto"/>
              <w:jc w:val="center"/>
              <w:rPr>
                <w:rFonts w:ascii="宋体" w:hAnsi="宋体"/>
                <w:bCs/>
                <w:sz w:val="24"/>
                <w:highlight w:val="none"/>
              </w:rPr>
            </w:pPr>
          </w:p>
        </w:tc>
        <w:tc>
          <w:tcPr>
            <w:tcW w:w="819" w:type="dxa"/>
            <w:vAlign w:val="center"/>
          </w:tcPr>
          <w:p w14:paraId="0A487A8B">
            <w:pPr>
              <w:spacing w:line="360" w:lineRule="auto"/>
              <w:jc w:val="center"/>
              <w:rPr>
                <w:rFonts w:ascii="宋体" w:hAnsi="宋体"/>
                <w:bCs/>
                <w:sz w:val="24"/>
                <w:highlight w:val="none"/>
              </w:rPr>
            </w:pPr>
          </w:p>
        </w:tc>
      </w:tr>
      <w:tr w14:paraId="00919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3D516DAE">
            <w:pPr>
              <w:spacing w:line="360" w:lineRule="auto"/>
              <w:jc w:val="center"/>
              <w:rPr>
                <w:rFonts w:ascii="宋体" w:hAnsi="宋体"/>
                <w:bCs/>
                <w:sz w:val="24"/>
                <w:highlight w:val="none"/>
              </w:rPr>
            </w:pPr>
          </w:p>
        </w:tc>
        <w:tc>
          <w:tcPr>
            <w:tcW w:w="1227" w:type="dxa"/>
            <w:vAlign w:val="center"/>
          </w:tcPr>
          <w:p w14:paraId="2AC24B8D">
            <w:pPr>
              <w:spacing w:line="360" w:lineRule="auto"/>
              <w:jc w:val="center"/>
              <w:rPr>
                <w:rFonts w:ascii="宋体" w:hAnsi="宋体"/>
                <w:bCs/>
                <w:sz w:val="24"/>
                <w:highlight w:val="none"/>
              </w:rPr>
            </w:pPr>
          </w:p>
        </w:tc>
        <w:tc>
          <w:tcPr>
            <w:tcW w:w="850" w:type="dxa"/>
            <w:vAlign w:val="center"/>
          </w:tcPr>
          <w:p w14:paraId="0C303B4B">
            <w:pPr>
              <w:spacing w:line="360" w:lineRule="auto"/>
              <w:jc w:val="center"/>
              <w:rPr>
                <w:rFonts w:ascii="宋体" w:hAnsi="宋体"/>
                <w:bCs/>
                <w:sz w:val="24"/>
                <w:highlight w:val="none"/>
              </w:rPr>
            </w:pPr>
          </w:p>
        </w:tc>
        <w:tc>
          <w:tcPr>
            <w:tcW w:w="996" w:type="dxa"/>
            <w:vAlign w:val="center"/>
          </w:tcPr>
          <w:p w14:paraId="23A5A784">
            <w:pPr>
              <w:spacing w:line="360" w:lineRule="auto"/>
              <w:jc w:val="center"/>
              <w:rPr>
                <w:rFonts w:ascii="宋体" w:hAnsi="宋体"/>
                <w:bCs/>
                <w:sz w:val="24"/>
                <w:highlight w:val="none"/>
              </w:rPr>
            </w:pPr>
          </w:p>
        </w:tc>
        <w:tc>
          <w:tcPr>
            <w:tcW w:w="702" w:type="dxa"/>
            <w:vAlign w:val="center"/>
          </w:tcPr>
          <w:p w14:paraId="03688685">
            <w:pPr>
              <w:spacing w:line="360" w:lineRule="auto"/>
              <w:jc w:val="center"/>
              <w:rPr>
                <w:rFonts w:ascii="宋体" w:hAnsi="宋体"/>
                <w:bCs/>
                <w:sz w:val="24"/>
                <w:highlight w:val="none"/>
              </w:rPr>
            </w:pPr>
          </w:p>
        </w:tc>
        <w:tc>
          <w:tcPr>
            <w:tcW w:w="1278" w:type="dxa"/>
            <w:vAlign w:val="center"/>
          </w:tcPr>
          <w:p w14:paraId="1F4F7621">
            <w:pPr>
              <w:spacing w:line="360" w:lineRule="auto"/>
              <w:jc w:val="center"/>
              <w:rPr>
                <w:rFonts w:ascii="宋体" w:hAnsi="宋体"/>
                <w:bCs/>
                <w:sz w:val="24"/>
                <w:highlight w:val="none"/>
              </w:rPr>
            </w:pPr>
          </w:p>
        </w:tc>
        <w:tc>
          <w:tcPr>
            <w:tcW w:w="708" w:type="dxa"/>
            <w:vAlign w:val="center"/>
          </w:tcPr>
          <w:p w14:paraId="4037CC20">
            <w:pPr>
              <w:spacing w:line="360" w:lineRule="auto"/>
              <w:jc w:val="center"/>
              <w:rPr>
                <w:rFonts w:ascii="宋体" w:hAnsi="宋体"/>
                <w:bCs/>
                <w:sz w:val="24"/>
                <w:highlight w:val="none"/>
              </w:rPr>
            </w:pPr>
          </w:p>
        </w:tc>
        <w:tc>
          <w:tcPr>
            <w:tcW w:w="752" w:type="dxa"/>
            <w:vAlign w:val="center"/>
          </w:tcPr>
          <w:p w14:paraId="11037AFC">
            <w:pPr>
              <w:spacing w:line="360" w:lineRule="auto"/>
              <w:jc w:val="center"/>
              <w:rPr>
                <w:rFonts w:ascii="宋体" w:hAnsi="宋体"/>
                <w:bCs/>
                <w:sz w:val="24"/>
                <w:highlight w:val="none"/>
              </w:rPr>
            </w:pPr>
          </w:p>
        </w:tc>
        <w:tc>
          <w:tcPr>
            <w:tcW w:w="1243" w:type="dxa"/>
            <w:vAlign w:val="center"/>
          </w:tcPr>
          <w:p w14:paraId="14E63A05">
            <w:pPr>
              <w:spacing w:line="360" w:lineRule="auto"/>
              <w:jc w:val="center"/>
              <w:rPr>
                <w:rFonts w:ascii="宋体" w:hAnsi="宋体"/>
                <w:bCs/>
                <w:sz w:val="24"/>
                <w:highlight w:val="none"/>
              </w:rPr>
            </w:pPr>
          </w:p>
        </w:tc>
        <w:tc>
          <w:tcPr>
            <w:tcW w:w="1148" w:type="dxa"/>
            <w:vAlign w:val="center"/>
          </w:tcPr>
          <w:p w14:paraId="5D27DCCB">
            <w:pPr>
              <w:spacing w:line="360" w:lineRule="auto"/>
              <w:jc w:val="center"/>
              <w:rPr>
                <w:rFonts w:ascii="宋体" w:hAnsi="宋体"/>
                <w:bCs/>
                <w:sz w:val="24"/>
                <w:highlight w:val="none"/>
              </w:rPr>
            </w:pPr>
          </w:p>
        </w:tc>
        <w:tc>
          <w:tcPr>
            <w:tcW w:w="819" w:type="dxa"/>
            <w:vAlign w:val="center"/>
          </w:tcPr>
          <w:p w14:paraId="1A083BFA">
            <w:pPr>
              <w:spacing w:line="360" w:lineRule="auto"/>
              <w:jc w:val="center"/>
              <w:rPr>
                <w:rFonts w:ascii="宋体" w:hAnsi="宋体"/>
                <w:bCs/>
                <w:sz w:val="24"/>
                <w:highlight w:val="none"/>
              </w:rPr>
            </w:pPr>
          </w:p>
        </w:tc>
      </w:tr>
      <w:tr w14:paraId="4ECBF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3B754B1E">
            <w:pPr>
              <w:spacing w:line="360" w:lineRule="auto"/>
              <w:jc w:val="center"/>
              <w:rPr>
                <w:rFonts w:ascii="宋体" w:hAnsi="宋体"/>
                <w:bCs/>
                <w:sz w:val="24"/>
                <w:highlight w:val="none"/>
              </w:rPr>
            </w:pPr>
          </w:p>
        </w:tc>
        <w:tc>
          <w:tcPr>
            <w:tcW w:w="1227" w:type="dxa"/>
            <w:vAlign w:val="center"/>
          </w:tcPr>
          <w:p w14:paraId="19CDA5BA">
            <w:pPr>
              <w:spacing w:line="360" w:lineRule="auto"/>
              <w:jc w:val="center"/>
              <w:rPr>
                <w:rFonts w:ascii="宋体" w:hAnsi="宋体"/>
                <w:bCs/>
                <w:sz w:val="24"/>
                <w:highlight w:val="none"/>
              </w:rPr>
            </w:pPr>
          </w:p>
        </w:tc>
        <w:tc>
          <w:tcPr>
            <w:tcW w:w="850" w:type="dxa"/>
            <w:vAlign w:val="center"/>
          </w:tcPr>
          <w:p w14:paraId="79812D74">
            <w:pPr>
              <w:spacing w:line="360" w:lineRule="auto"/>
              <w:jc w:val="center"/>
              <w:rPr>
                <w:rFonts w:ascii="宋体" w:hAnsi="宋体"/>
                <w:bCs/>
                <w:sz w:val="24"/>
                <w:highlight w:val="none"/>
              </w:rPr>
            </w:pPr>
          </w:p>
        </w:tc>
        <w:tc>
          <w:tcPr>
            <w:tcW w:w="996" w:type="dxa"/>
            <w:vAlign w:val="center"/>
          </w:tcPr>
          <w:p w14:paraId="6A8AB6A5">
            <w:pPr>
              <w:spacing w:line="360" w:lineRule="auto"/>
              <w:jc w:val="center"/>
              <w:rPr>
                <w:rFonts w:ascii="宋体" w:hAnsi="宋体"/>
                <w:bCs/>
                <w:sz w:val="24"/>
                <w:highlight w:val="none"/>
              </w:rPr>
            </w:pPr>
          </w:p>
        </w:tc>
        <w:tc>
          <w:tcPr>
            <w:tcW w:w="702" w:type="dxa"/>
            <w:vAlign w:val="center"/>
          </w:tcPr>
          <w:p w14:paraId="2BF35A82">
            <w:pPr>
              <w:spacing w:line="360" w:lineRule="auto"/>
              <w:jc w:val="center"/>
              <w:rPr>
                <w:rFonts w:ascii="宋体" w:hAnsi="宋体"/>
                <w:bCs/>
                <w:sz w:val="24"/>
                <w:highlight w:val="none"/>
              </w:rPr>
            </w:pPr>
          </w:p>
        </w:tc>
        <w:tc>
          <w:tcPr>
            <w:tcW w:w="1278" w:type="dxa"/>
            <w:vAlign w:val="center"/>
          </w:tcPr>
          <w:p w14:paraId="339DE4E9">
            <w:pPr>
              <w:spacing w:line="360" w:lineRule="auto"/>
              <w:jc w:val="center"/>
              <w:rPr>
                <w:rFonts w:ascii="宋体" w:hAnsi="宋体"/>
                <w:bCs/>
                <w:sz w:val="24"/>
                <w:highlight w:val="none"/>
              </w:rPr>
            </w:pPr>
          </w:p>
        </w:tc>
        <w:tc>
          <w:tcPr>
            <w:tcW w:w="708" w:type="dxa"/>
            <w:vAlign w:val="center"/>
          </w:tcPr>
          <w:p w14:paraId="0BFF5A0E">
            <w:pPr>
              <w:spacing w:line="360" w:lineRule="auto"/>
              <w:jc w:val="center"/>
              <w:rPr>
                <w:rFonts w:ascii="宋体" w:hAnsi="宋体"/>
                <w:bCs/>
                <w:sz w:val="24"/>
                <w:highlight w:val="none"/>
              </w:rPr>
            </w:pPr>
          </w:p>
        </w:tc>
        <w:tc>
          <w:tcPr>
            <w:tcW w:w="752" w:type="dxa"/>
            <w:vAlign w:val="center"/>
          </w:tcPr>
          <w:p w14:paraId="6F9FDA84">
            <w:pPr>
              <w:spacing w:line="360" w:lineRule="auto"/>
              <w:jc w:val="center"/>
              <w:rPr>
                <w:rFonts w:ascii="宋体" w:hAnsi="宋体"/>
                <w:bCs/>
                <w:sz w:val="24"/>
                <w:highlight w:val="none"/>
              </w:rPr>
            </w:pPr>
          </w:p>
        </w:tc>
        <w:tc>
          <w:tcPr>
            <w:tcW w:w="1243" w:type="dxa"/>
            <w:vAlign w:val="center"/>
          </w:tcPr>
          <w:p w14:paraId="5827DB5B">
            <w:pPr>
              <w:spacing w:line="360" w:lineRule="auto"/>
              <w:jc w:val="center"/>
              <w:rPr>
                <w:rFonts w:ascii="宋体" w:hAnsi="宋体"/>
                <w:bCs/>
                <w:sz w:val="24"/>
                <w:highlight w:val="none"/>
              </w:rPr>
            </w:pPr>
          </w:p>
        </w:tc>
        <w:tc>
          <w:tcPr>
            <w:tcW w:w="1148" w:type="dxa"/>
            <w:vAlign w:val="center"/>
          </w:tcPr>
          <w:p w14:paraId="4F868E4A">
            <w:pPr>
              <w:spacing w:line="360" w:lineRule="auto"/>
              <w:jc w:val="center"/>
              <w:rPr>
                <w:rFonts w:ascii="宋体" w:hAnsi="宋体"/>
                <w:bCs/>
                <w:sz w:val="24"/>
                <w:highlight w:val="none"/>
              </w:rPr>
            </w:pPr>
          </w:p>
        </w:tc>
        <w:tc>
          <w:tcPr>
            <w:tcW w:w="819" w:type="dxa"/>
            <w:vAlign w:val="center"/>
          </w:tcPr>
          <w:p w14:paraId="00B054E4">
            <w:pPr>
              <w:spacing w:line="360" w:lineRule="auto"/>
              <w:jc w:val="center"/>
              <w:rPr>
                <w:rFonts w:ascii="宋体" w:hAnsi="宋体"/>
                <w:bCs/>
                <w:sz w:val="24"/>
                <w:highlight w:val="none"/>
              </w:rPr>
            </w:pPr>
          </w:p>
        </w:tc>
      </w:tr>
      <w:tr w14:paraId="3E1AD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65D0AD24">
            <w:pPr>
              <w:spacing w:line="360" w:lineRule="auto"/>
              <w:jc w:val="center"/>
              <w:rPr>
                <w:rFonts w:ascii="宋体" w:hAnsi="宋体"/>
                <w:bCs/>
                <w:sz w:val="24"/>
                <w:highlight w:val="none"/>
              </w:rPr>
            </w:pPr>
          </w:p>
        </w:tc>
        <w:tc>
          <w:tcPr>
            <w:tcW w:w="1227" w:type="dxa"/>
            <w:vAlign w:val="center"/>
          </w:tcPr>
          <w:p w14:paraId="17165D34">
            <w:pPr>
              <w:spacing w:line="360" w:lineRule="auto"/>
              <w:jc w:val="center"/>
              <w:rPr>
                <w:rFonts w:ascii="宋体" w:hAnsi="宋体"/>
                <w:bCs/>
                <w:sz w:val="24"/>
                <w:highlight w:val="none"/>
              </w:rPr>
            </w:pPr>
          </w:p>
        </w:tc>
        <w:tc>
          <w:tcPr>
            <w:tcW w:w="850" w:type="dxa"/>
            <w:vAlign w:val="center"/>
          </w:tcPr>
          <w:p w14:paraId="7C7EB5B1">
            <w:pPr>
              <w:spacing w:line="360" w:lineRule="auto"/>
              <w:jc w:val="center"/>
              <w:rPr>
                <w:rFonts w:ascii="宋体" w:hAnsi="宋体"/>
                <w:bCs/>
                <w:sz w:val="24"/>
                <w:highlight w:val="none"/>
              </w:rPr>
            </w:pPr>
          </w:p>
        </w:tc>
        <w:tc>
          <w:tcPr>
            <w:tcW w:w="996" w:type="dxa"/>
            <w:vAlign w:val="center"/>
          </w:tcPr>
          <w:p w14:paraId="7B9632B2">
            <w:pPr>
              <w:spacing w:line="360" w:lineRule="auto"/>
              <w:jc w:val="center"/>
              <w:rPr>
                <w:rFonts w:ascii="宋体" w:hAnsi="宋体"/>
                <w:bCs/>
                <w:sz w:val="24"/>
                <w:highlight w:val="none"/>
              </w:rPr>
            </w:pPr>
          </w:p>
        </w:tc>
        <w:tc>
          <w:tcPr>
            <w:tcW w:w="702" w:type="dxa"/>
            <w:vAlign w:val="center"/>
          </w:tcPr>
          <w:p w14:paraId="768393F1">
            <w:pPr>
              <w:spacing w:line="360" w:lineRule="auto"/>
              <w:jc w:val="center"/>
              <w:rPr>
                <w:rFonts w:ascii="宋体" w:hAnsi="宋体"/>
                <w:bCs/>
                <w:sz w:val="24"/>
                <w:highlight w:val="none"/>
              </w:rPr>
            </w:pPr>
          </w:p>
        </w:tc>
        <w:tc>
          <w:tcPr>
            <w:tcW w:w="1278" w:type="dxa"/>
            <w:vAlign w:val="center"/>
          </w:tcPr>
          <w:p w14:paraId="1F891F77">
            <w:pPr>
              <w:spacing w:line="360" w:lineRule="auto"/>
              <w:jc w:val="center"/>
              <w:rPr>
                <w:rFonts w:ascii="宋体" w:hAnsi="宋体"/>
                <w:bCs/>
                <w:sz w:val="24"/>
                <w:highlight w:val="none"/>
              </w:rPr>
            </w:pPr>
          </w:p>
        </w:tc>
        <w:tc>
          <w:tcPr>
            <w:tcW w:w="708" w:type="dxa"/>
            <w:vAlign w:val="center"/>
          </w:tcPr>
          <w:p w14:paraId="587467D1">
            <w:pPr>
              <w:spacing w:line="360" w:lineRule="auto"/>
              <w:jc w:val="center"/>
              <w:rPr>
                <w:rFonts w:ascii="宋体" w:hAnsi="宋体"/>
                <w:bCs/>
                <w:sz w:val="24"/>
                <w:highlight w:val="none"/>
              </w:rPr>
            </w:pPr>
          </w:p>
        </w:tc>
        <w:tc>
          <w:tcPr>
            <w:tcW w:w="752" w:type="dxa"/>
            <w:vAlign w:val="center"/>
          </w:tcPr>
          <w:p w14:paraId="506B48EF">
            <w:pPr>
              <w:spacing w:line="360" w:lineRule="auto"/>
              <w:jc w:val="center"/>
              <w:rPr>
                <w:rFonts w:ascii="宋体" w:hAnsi="宋体"/>
                <w:bCs/>
                <w:sz w:val="24"/>
                <w:highlight w:val="none"/>
              </w:rPr>
            </w:pPr>
          </w:p>
        </w:tc>
        <w:tc>
          <w:tcPr>
            <w:tcW w:w="1243" w:type="dxa"/>
            <w:vAlign w:val="center"/>
          </w:tcPr>
          <w:p w14:paraId="10F9EDEF">
            <w:pPr>
              <w:spacing w:line="360" w:lineRule="auto"/>
              <w:jc w:val="center"/>
              <w:rPr>
                <w:rFonts w:ascii="宋体" w:hAnsi="宋体"/>
                <w:bCs/>
                <w:sz w:val="24"/>
                <w:highlight w:val="none"/>
              </w:rPr>
            </w:pPr>
          </w:p>
        </w:tc>
        <w:tc>
          <w:tcPr>
            <w:tcW w:w="1148" w:type="dxa"/>
            <w:vAlign w:val="center"/>
          </w:tcPr>
          <w:p w14:paraId="46DA50B1">
            <w:pPr>
              <w:spacing w:line="360" w:lineRule="auto"/>
              <w:jc w:val="center"/>
              <w:rPr>
                <w:rFonts w:ascii="宋体" w:hAnsi="宋体"/>
                <w:bCs/>
                <w:sz w:val="24"/>
                <w:highlight w:val="none"/>
              </w:rPr>
            </w:pPr>
          </w:p>
        </w:tc>
        <w:tc>
          <w:tcPr>
            <w:tcW w:w="819" w:type="dxa"/>
            <w:vAlign w:val="center"/>
          </w:tcPr>
          <w:p w14:paraId="4EC65667">
            <w:pPr>
              <w:spacing w:line="360" w:lineRule="auto"/>
              <w:jc w:val="center"/>
              <w:rPr>
                <w:rFonts w:ascii="宋体" w:hAnsi="宋体"/>
                <w:bCs/>
                <w:sz w:val="24"/>
                <w:highlight w:val="none"/>
              </w:rPr>
            </w:pPr>
          </w:p>
        </w:tc>
      </w:tr>
      <w:tr w14:paraId="678C1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6E5F423E">
            <w:pPr>
              <w:spacing w:line="360" w:lineRule="auto"/>
              <w:jc w:val="center"/>
              <w:rPr>
                <w:rFonts w:ascii="宋体" w:hAnsi="宋体"/>
                <w:bCs/>
                <w:sz w:val="24"/>
                <w:highlight w:val="none"/>
              </w:rPr>
            </w:pPr>
          </w:p>
        </w:tc>
        <w:tc>
          <w:tcPr>
            <w:tcW w:w="1227" w:type="dxa"/>
            <w:vAlign w:val="center"/>
          </w:tcPr>
          <w:p w14:paraId="6C4C4DB0">
            <w:pPr>
              <w:spacing w:line="360" w:lineRule="auto"/>
              <w:jc w:val="center"/>
              <w:rPr>
                <w:rFonts w:ascii="宋体" w:hAnsi="宋体"/>
                <w:bCs/>
                <w:sz w:val="24"/>
                <w:highlight w:val="none"/>
              </w:rPr>
            </w:pPr>
          </w:p>
        </w:tc>
        <w:tc>
          <w:tcPr>
            <w:tcW w:w="850" w:type="dxa"/>
            <w:vAlign w:val="center"/>
          </w:tcPr>
          <w:p w14:paraId="0355C368">
            <w:pPr>
              <w:spacing w:line="360" w:lineRule="auto"/>
              <w:jc w:val="center"/>
              <w:rPr>
                <w:rFonts w:ascii="宋体" w:hAnsi="宋体"/>
                <w:bCs/>
                <w:sz w:val="24"/>
                <w:highlight w:val="none"/>
              </w:rPr>
            </w:pPr>
          </w:p>
        </w:tc>
        <w:tc>
          <w:tcPr>
            <w:tcW w:w="996" w:type="dxa"/>
            <w:vAlign w:val="center"/>
          </w:tcPr>
          <w:p w14:paraId="3E46701D">
            <w:pPr>
              <w:spacing w:line="360" w:lineRule="auto"/>
              <w:jc w:val="center"/>
              <w:rPr>
                <w:rFonts w:ascii="宋体" w:hAnsi="宋体"/>
                <w:bCs/>
                <w:sz w:val="24"/>
                <w:highlight w:val="none"/>
              </w:rPr>
            </w:pPr>
          </w:p>
        </w:tc>
        <w:tc>
          <w:tcPr>
            <w:tcW w:w="702" w:type="dxa"/>
            <w:vAlign w:val="center"/>
          </w:tcPr>
          <w:p w14:paraId="004C1C9A">
            <w:pPr>
              <w:spacing w:line="360" w:lineRule="auto"/>
              <w:jc w:val="center"/>
              <w:rPr>
                <w:rFonts w:ascii="宋体" w:hAnsi="宋体"/>
                <w:bCs/>
                <w:sz w:val="24"/>
                <w:highlight w:val="none"/>
              </w:rPr>
            </w:pPr>
          </w:p>
        </w:tc>
        <w:tc>
          <w:tcPr>
            <w:tcW w:w="1278" w:type="dxa"/>
            <w:vAlign w:val="center"/>
          </w:tcPr>
          <w:p w14:paraId="5767C935">
            <w:pPr>
              <w:spacing w:line="360" w:lineRule="auto"/>
              <w:jc w:val="center"/>
              <w:rPr>
                <w:rFonts w:ascii="宋体" w:hAnsi="宋体"/>
                <w:bCs/>
                <w:sz w:val="24"/>
                <w:highlight w:val="none"/>
              </w:rPr>
            </w:pPr>
          </w:p>
        </w:tc>
        <w:tc>
          <w:tcPr>
            <w:tcW w:w="708" w:type="dxa"/>
            <w:vAlign w:val="center"/>
          </w:tcPr>
          <w:p w14:paraId="19D55BEE">
            <w:pPr>
              <w:spacing w:line="360" w:lineRule="auto"/>
              <w:jc w:val="center"/>
              <w:rPr>
                <w:rFonts w:ascii="宋体" w:hAnsi="宋体"/>
                <w:bCs/>
                <w:sz w:val="24"/>
                <w:highlight w:val="none"/>
              </w:rPr>
            </w:pPr>
          </w:p>
        </w:tc>
        <w:tc>
          <w:tcPr>
            <w:tcW w:w="752" w:type="dxa"/>
            <w:vAlign w:val="center"/>
          </w:tcPr>
          <w:p w14:paraId="3C050BDB">
            <w:pPr>
              <w:spacing w:line="360" w:lineRule="auto"/>
              <w:jc w:val="center"/>
              <w:rPr>
                <w:rFonts w:ascii="宋体" w:hAnsi="宋体"/>
                <w:bCs/>
                <w:sz w:val="24"/>
                <w:highlight w:val="none"/>
              </w:rPr>
            </w:pPr>
          </w:p>
        </w:tc>
        <w:tc>
          <w:tcPr>
            <w:tcW w:w="1243" w:type="dxa"/>
            <w:vAlign w:val="center"/>
          </w:tcPr>
          <w:p w14:paraId="3DEC6B62">
            <w:pPr>
              <w:spacing w:line="360" w:lineRule="auto"/>
              <w:jc w:val="center"/>
              <w:rPr>
                <w:rFonts w:ascii="宋体" w:hAnsi="宋体"/>
                <w:bCs/>
                <w:sz w:val="24"/>
                <w:highlight w:val="none"/>
              </w:rPr>
            </w:pPr>
          </w:p>
        </w:tc>
        <w:tc>
          <w:tcPr>
            <w:tcW w:w="1148" w:type="dxa"/>
            <w:vAlign w:val="center"/>
          </w:tcPr>
          <w:p w14:paraId="1E1ABAF8">
            <w:pPr>
              <w:spacing w:line="360" w:lineRule="auto"/>
              <w:jc w:val="center"/>
              <w:rPr>
                <w:rFonts w:ascii="宋体" w:hAnsi="宋体"/>
                <w:bCs/>
                <w:sz w:val="24"/>
                <w:highlight w:val="none"/>
              </w:rPr>
            </w:pPr>
          </w:p>
        </w:tc>
        <w:tc>
          <w:tcPr>
            <w:tcW w:w="819" w:type="dxa"/>
            <w:vAlign w:val="center"/>
          </w:tcPr>
          <w:p w14:paraId="1FECD9F9">
            <w:pPr>
              <w:spacing w:line="360" w:lineRule="auto"/>
              <w:jc w:val="center"/>
              <w:rPr>
                <w:rFonts w:ascii="宋体" w:hAnsi="宋体"/>
                <w:bCs/>
                <w:sz w:val="24"/>
                <w:highlight w:val="none"/>
              </w:rPr>
            </w:pPr>
          </w:p>
        </w:tc>
      </w:tr>
      <w:tr w14:paraId="7AB54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3E1D413A">
            <w:pPr>
              <w:spacing w:line="360" w:lineRule="auto"/>
              <w:jc w:val="center"/>
              <w:rPr>
                <w:rFonts w:ascii="宋体" w:hAnsi="宋体"/>
                <w:bCs/>
                <w:sz w:val="24"/>
                <w:highlight w:val="none"/>
              </w:rPr>
            </w:pPr>
          </w:p>
        </w:tc>
        <w:tc>
          <w:tcPr>
            <w:tcW w:w="1227" w:type="dxa"/>
            <w:vAlign w:val="center"/>
          </w:tcPr>
          <w:p w14:paraId="1A9812B8">
            <w:pPr>
              <w:spacing w:line="360" w:lineRule="auto"/>
              <w:jc w:val="center"/>
              <w:rPr>
                <w:rFonts w:ascii="宋体" w:hAnsi="宋体"/>
                <w:bCs/>
                <w:sz w:val="24"/>
                <w:highlight w:val="none"/>
              </w:rPr>
            </w:pPr>
          </w:p>
        </w:tc>
        <w:tc>
          <w:tcPr>
            <w:tcW w:w="850" w:type="dxa"/>
            <w:vAlign w:val="center"/>
          </w:tcPr>
          <w:p w14:paraId="46C331F9">
            <w:pPr>
              <w:spacing w:line="360" w:lineRule="auto"/>
              <w:jc w:val="center"/>
              <w:rPr>
                <w:rFonts w:ascii="宋体" w:hAnsi="宋体"/>
                <w:bCs/>
                <w:sz w:val="24"/>
                <w:highlight w:val="none"/>
              </w:rPr>
            </w:pPr>
          </w:p>
        </w:tc>
        <w:tc>
          <w:tcPr>
            <w:tcW w:w="996" w:type="dxa"/>
            <w:vAlign w:val="center"/>
          </w:tcPr>
          <w:p w14:paraId="26B2F202">
            <w:pPr>
              <w:spacing w:line="360" w:lineRule="auto"/>
              <w:jc w:val="center"/>
              <w:rPr>
                <w:rFonts w:ascii="宋体" w:hAnsi="宋体"/>
                <w:bCs/>
                <w:sz w:val="24"/>
                <w:highlight w:val="none"/>
              </w:rPr>
            </w:pPr>
          </w:p>
        </w:tc>
        <w:tc>
          <w:tcPr>
            <w:tcW w:w="702" w:type="dxa"/>
            <w:vAlign w:val="center"/>
          </w:tcPr>
          <w:p w14:paraId="7746BD32">
            <w:pPr>
              <w:spacing w:line="360" w:lineRule="auto"/>
              <w:jc w:val="center"/>
              <w:rPr>
                <w:rFonts w:ascii="宋体" w:hAnsi="宋体"/>
                <w:bCs/>
                <w:sz w:val="24"/>
                <w:highlight w:val="none"/>
              </w:rPr>
            </w:pPr>
          </w:p>
        </w:tc>
        <w:tc>
          <w:tcPr>
            <w:tcW w:w="1278" w:type="dxa"/>
            <w:vAlign w:val="center"/>
          </w:tcPr>
          <w:p w14:paraId="0E35DCFE">
            <w:pPr>
              <w:spacing w:line="360" w:lineRule="auto"/>
              <w:jc w:val="center"/>
              <w:rPr>
                <w:rFonts w:ascii="宋体" w:hAnsi="宋体"/>
                <w:bCs/>
                <w:sz w:val="24"/>
                <w:highlight w:val="none"/>
              </w:rPr>
            </w:pPr>
          </w:p>
        </w:tc>
        <w:tc>
          <w:tcPr>
            <w:tcW w:w="708" w:type="dxa"/>
            <w:vAlign w:val="center"/>
          </w:tcPr>
          <w:p w14:paraId="2718E1BF">
            <w:pPr>
              <w:spacing w:line="360" w:lineRule="auto"/>
              <w:jc w:val="center"/>
              <w:rPr>
                <w:rFonts w:ascii="宋体" w:hAnsi="宋体"/>
                <w:bCs/>
                <w:sz w:val="24"/>
                <w:highlight w:val="none"/>
              </w:rPr>
            </w:pPr>
          </w:p>
        </w:tc>
        <w:tc>
          <w:tcPr>
            <w:tcW w:w="752" w:type="dxa"/>
            <w:vAlign w:val="center"/>
          </w:tcPr>
          <w:p w14:paraId="71BDF025">
            <w:pPr>
              <w:spacing w:line="360" w:lineRule="auto"/>
              <w:jc w:val="center"/>
              <w:rPr>
                <w:rFonts w:ascii="宋体" w:hAnsi="宋体"/>
                <w:bCs/>
                <w:sz w:val="24"/>
                <w:highlight w:val="none"/>
              </w:rPr>
            </w:pPr>
          </w:p>
        </w:tc>
        <w:tc>
          <w:tcPr>
            <w:tcW w:w="1243" w:type="dxa"/>
            <w:vAlign w:val="center"/>
          </w:tcPr>
          <w:p w14:paraId="1CB1CE26">
            <w:pPr>
              <w:spacing w:line="360" w:lineRule="auto"/>
              <w:jc w:val="center"/>
              <w:rPr>
                <w:rFonts w:ascii="宋体" w:hAnsi="宋体"/>
                <w:bCs/>
                <w:sz w:val="24"/>
                <w:highlight w:val="none"/>
              </w:rPr>
            </w:pPr>
          </w:p>
        </w:tc>
        <w:tc>
          <w:tcPr>
            <w:tcW w:w="1148" w:type="dxa"/>
            <w:vAlign w:val="center"/>
          </w:tcPr>
          <w:p w14:paraId="3E03894B">
            <w:pPr>
              <w:spacing w:line="360" w:lineRule="auto"/>
              <w:jc w:val="center"/>
              <w:rPr>
                <w:rFonts w:ascii="宋体" w:hAnsi="宋体"/>
                <w:bCs/>
                <w:sz w:val="24"/>
                <w:highlight w:val="none"/>
              </w:rPr>
            </w:pPr>
          </w:p>
        </w:tc>
        <w:tc>
          <w:tcPr>
            <w:tcW w:w="819" w:type="dxa"/>
            <w:vAlign w:val="center"/>
          </w:tcPr>
          <w:p w14:paraId="4F6148E1">
            <w:pPr>
              <w:spacing w:line="360" w:lineRule="auto"/>
              <w:jc w:val="center"/>
              <w:rPr>
                <w:rFonts w:ascii="宋体" w:hAnsi="宋体"/>
                <w:bCs/>
                <w:sz w:val="24"/>
                <w:highlight w:val="none"/>
              </w:rPr>
            </w:pPr>
          </w:p>
        </w:tc>
      </w:tr>
      <w:tr w14:paraId="3F16D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5871B8DE">
            <w:pPr>
              <w:spacing w:line="360" w:lineRule="auto"/>
              <w:jc w:val="center"/>
              <w:rPr>
                <w:rFonts w:ascii="宋体" w:hAnsi="宋体"/>
                <w:bCs/>
                <w:sz w:val="24"/>
                <w:highlight w:val="none"/>
              </w:rPr>
            </w:pPr>
          </w:p>
        </w:tc>
        <w:tc>
          <w:tcPr>
            <w:tcW w:w="1227" w:type="dxa"/>
            <w:vAlign w:val="center"/>
          </w:tcPr>
          <w:p w14:paraId="11666A1E">
            <w:pPr>
              <w:spacing w:line="360" w:lineRule="auto"/>
              <w:jc w:val="center"/>
              <w:rPr>
                <w:rFonts w:ascii="宋体" w:hAnsi="宋体"/>
                <w:bCs/>
                <w:sz w:val="24"/>
                <w:highlight w:val="none"/>
              </w:rPr>
            </w:pPr>
          </w:p>
        </w:tc>
        <w:tc>
          <w:tcPr>
            <w:tcW w:w="850" w:type="dxa"/>
            <w:vAlign w:val="center"/>
          </w:tcPr>
          <w:p w14:paraId="55D8E9D8">
            <w:pPr>
              <w:spacing w:line="360" w:lineRule="auto"/>
              <w:jc w:val="center"/>
              <w:rPr>
                <w:rFonts w:ascii="宋体" w:hAnsi="宋体"/>
                <w:bCs/>
                <w:sz w:val="24"/>
                <w:highlight w:val="none"/>
              </w:rPr>
            </w:pPr>
          </w:p>
        </w:tc>
        <w:tc>
          <w:tcPr>
            <w:tcW w:w="996" w:type="dxa"/>
            <w:vAlign w:val="center"/>
          </w:tcPr>
          <w:p w14:paraId="0BB8FA87">
            <w:pPr>
              <w:spacing w:line="360" w:lineRule="auto"/>
              <w:jc w:val="center"/>
              <w:rPr>
                <w:rFonts w:ascii="宋体" w:hAnsi="宋体"/>
                <w:bCs/>
                <w:sz w:val="24"/>
                <w:highlight w:val="none"/>
              </w:rPr>
            </w:pPr>
          </w:p>
        </w:tc>
        <w:tc>
          <w:tcPr>
            <w:tcW w:w="702" w:type="dxa"/>
            <w:vAlign w:val="center"/>
          </w:tcPr>
          <w:p w14:paraId="164D6018">
            <w:pPr>
              <w:spacing w:line="360" w:lineRule="auto"/>
              <w:jc w:val="center"/>
              <w:rPr>
                <w:rFonts w:ascii="宋体" w:hAnsi="宋体"/>
                <w:bCs/>
                <w:sz w:val="24"/>
                <w:highlight w:val="none"/>
              </w:rPr>
            </w:pPr>
          </w:p>
        </w:tc>
        <w:tc>
          <w:tcPr>
            <w:tcW w:w="1278" w:type="dxa"/>
            <w:vAlign w:val="center"/>
          </w:tcPr>
          <w:p w14:paraId="66120ED8">
            <w:pPr>
              <w:spacing w:line="360" w:lineRule="auto"/>
              <w:jc w:val="center"/>
              <w:rPr>
                <w:rFonts w:ascii="宋体" w:hAnsi="宋体"/>
                <w:bCs/>
                <w:sz w:val="24"/>
                <w:highlight w:val="none"/>
              </w:rPr>
            </w:pPr>
          </w:p>
        </w:tc>
        <w:tc>
          <w:tcPr>
            <w:tcW w:w="708" w:type="dxa"/>
            <w:vAlign w:val="center"/>
          </w:tcPr>
          <w:p w14:paraId="3FB9084E">
            <w:pPr>
              <w:spacing w:line="360" w:lineRule="auto"/>
              <w:jc w:val="center"/>
              <w:rPr>
                <w:rFonts w:ascii="宋体" w:hAnsi="宋体"/>
                <w:bCs/>
                <w:sz w:val="24"/>
                <w:highlight w:val="none"/>
              </w:rPr>
            </w:pPr>
          </w:p>
        </w:tc>
        <w:tc>
          <w:tcPr>
            <w:tcW w:w="752" w:type="dxa"/>
            <w:vAlign w:val="center"/>
          </w:tcPr>
          <w:p w14:paraId="36C999C6">
            <w:pPr>
              <w:spacing w:line="360" w:lineRule="auto"/>
              <w:jc w:val="center"/>
              <w:rPr>
                <w:rFonts w:ascii="宋体" w:hAnsi="宋体"/>
                <w:bCs/>
                <w:sz w:val="24"/>
                <w:highlight w:val="none"/>
              </w:rPr>
            </w:pPr>
          </w:p>
        </w:tc>
        <w:tc>
          <w:tcPr>
            <w:tcW w:w="1243" w:type="dxa"/>
            <w:vAlign w:val="center"/>
          </w:tcPr>
          <w:p w14:paraId="1FB11DEB">
            <w:pPr>
              <w:spacing w:line="360" w:lineRule="auto"/>
              <w:jc w:val="center"/>
              <w:rPr>
                <w:rFonts w:ascii="宋体" w:hAnsi="宋体"/>
                <w:bCs/>
                <w:sz w:val="24"/>
                <w:highlight w:val="none"/>
              </w:rPr>
            </w:pPr>
          </w:p>
        </w:tc>
        <w:tc>
          <w:tcPr>
            <w:tcW w:w="1148" w:type="dxa"/>
            <w:vAlign w:val="center"/>
          </w:tcPr>
          <w:p w14:paraId="1174645B">
            <w:pPr>
              <w:spacing w:line="360" w:lineRule="auto"/>
              <w:jc w:val="center"/>
              <w:rPr>
                <w:rFonts w:ascii="宋体" w:hAnsi="宋体"/>
                <w:bCs/>
                <w:sz w:val="24"/>
                <w:highlight w:val="none"/>
              </w:rPr>
            </w:pPr>
          </w:p>
        </w:tc>
        <w:tc>
          <w:tcPr>
            <w:tcW w:w="819" w:type="dxa"/>
            <w:vAlign w:val="center"/>
          </w:tcPr>
          <w:p w14:paraId="1EAD7AAB">
            <w:pPr>
              <w:spacing w:line="360" w:lineRule="auto"/>
              <w:jc w:val="center"/>
              <w:rPr>
                <w:rFonts w:ascii="宋体" w:hAnsi="宋体"/>
                <w:bCs/>
                <w:sz w:val="24"/>
                <w:highlight w:val="none"/>
              </w:rPr>
            </w:pPr>
          </w:p>
        </w:tc>
      </w:tr>
      <w:tr w14:paraId="519B3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10589" w:type="dxa"/>
            <w:gridSpan w:val="11"/>
            <w:vAlign w:val="center"/>
          </w:tcPr>
          <w:p w14:paraId="5933ADE1">
            <w:pPr>
              <w:spacing w:line="360" w:lineRule="auto"/>
              <w:ind w:left="420" w:leftChars="200"/>
              <w:rPr>
                <w:rFonts w:ascii="宋体" w:hAnsi="宋体"/>
                <w:bCs/>
                <w:sz w:val="24"/>
                <w:highlight w:val="none"/>
                <w:lang w:eastAsia="zh-CN"/>
              </w:rPr>
            </w:pPr>
            <w:r>
              <w:rPr>
                <w:rFonts w:hint="eastAsia" w:ascii="宋体" w:hAnsi="宋体"/>
                <w:bCs/>
                <w:sz w:val="24"/>
                <w:highlight w:val="none"/>
                <w:lang w:eastAsia="zh-CN"/>
              </w:rPr>
              <w:t>总金额：</w:t>
            </w:r>
            <w:r>
              <w:rPr>
                <w:rFonts w:hint="eastAsia" w:ascii="宋体" w:hAnsi="宋体"/>
                <w:sz w:val="24"/>
                <w:highlight w:val="none"/>
                <w:lang w:eastAsia="zh-CN"/>
              </w:rPr>
              <w:t>人民币</w:t>
            </w:r>
            <w:r>
              <w:rPr>
                <w:rFonts w:hint="eastAsia" w:ascii="宋体" w:hAnsi="宋体"/>
                <w:sz w:val="24"/>
                <w:highlight w:val="none"/>
                <w:u w:val="single"/>
                <w:lang w:eastAsia="zh-CN"/>
              </w:rPr>
              <w:t xml:space="preserve">      </w:t>
            </w:r>
            <w:r>
              <w:rPr>
                <w:rFonts w:hint="eastAsia" w:ascii="宋体" w:hAnsi="宋体"/>
                <w:sz w:val="24"/>
                <w:highlight w:val="none"/>
                <w:lang w:eastAsia="zh-CN"/>
              </w:rPr>
              <w:t>元整（¥</w:t>
            </w:r>
            <w:r>
              <w:rPr>
                <w:rFonts w:hint="eastAsia" w:ascii="宋体" w:hAnsi="宋体"/>
                <w:sz w:val="24"/>
                <w:highlight w:val="none"/>
                <w:u w:val="single"/>
                <w:lang w:eastAsia="zh-CN"/>
              </w:rPr>
              <w:t xml:space="preserve">       </w:t>
            </w:r>
            <w:r>
              <w:rPr>
                <w:rFonts w:hint="eastAsia" w:ascii="宋体" w:hAnsi="宋体"/>
                <w:sz w:val="24"/>
                <w:highlight w:val="none"/>
                <w:lang w:eastAsia="zh-CN"/>
              </w:rPr>
              <w:t xml:space="preserve">元）         </w:t>
            </w:r>
          </w:p>
        </w:tc>
      </w:tr>
    </w:tbl>
    <w:p w14:paraId="4BDCA06E">
      <w:pPr>
        <w:spacing w:line="360" w:lineRule="auto"/>
        <w:rPr>
          <w:rFonts w:ascii="宋体" w:hAnsi="宋体"/>
          <w:b/>
          <w:bCs/>
          <w:sz w:val="24"/>
          <w:highlight w:val="none"/>
          <w:lang w:eastAsia="zh-CN"/>
        </w:rPr>
      </w:pPr>
    </w:p>
    <w:p w14:paraId="2FE1456C">
      <w:pPr>
        <w:spacing w:line="360" w:lineRule="auto"/>
        <w:rPr>
          <w:rFonts w:ascii="宋体" w:hAnsi="宋体"/>
          <w:b/>
          <w:bCs/>
          <w:sz w:val="24"/>
          <w:highlight w:val="none"/>
          <w:lang w:eastAsia="zh-CN"/>
        </w:rPr>
      </w:pPr>
      <w:r>
        <w:rPr>
          <w:rFonts w:hint="eastAsia" w:ascii="宋体" w:hAnsi="宋体"/>
          <w:b/>
          <w:bCs/>
          <w:sz w:val="24"/>
          <w:highlight w:val="none"/>
          <w:lang w:eastAsia="zh-CN"/>
        </w:rPr>
        <w:t>附件2 性能参数表</w:t>
      </w:r>
    </w:p>
    <w:p w14:paraId="260678DF">
      <w:pPr>
        <w:spacing w:line="360" w:lineRule="auto"/>
        <w:rPr>
          <w:rFonts w:ascii="宋体" w:hAnsi="宋体"/>
          <w:bCs/>
          <w:sz w:val="24"/>
          <w:highlight w:val="none"/>
          <w:lang w:eastAsia="zh-CN"/>
        </w:rPr>
      </w:pPr>
    </w:p>
    <w:p w14:paraId="4A2CE7A1">
      <w:pPr>
        <w:spacing w:line="360" w:lineRule="auto"/>
        <w:rPr>
          <w:rFonts w:ascii="宋体" w:hAnsi="宋体"/>
          <w:b/>
          <w:bCs/>
          <w:sz w:val="24"/>
          <w:highlight w:val="none"/>
          <w:lang w:eastAsia="zh-CN"/>
        </w:rPr>
      </w:pPr>
      <w:r>
        <w:rPr>
          <w:rFonts w:hint="eastAsia" w:ascii="宋体" w:hAnsi="宋体"/>
          <w:b/>
          <w:bCs/>
          <w:sz w:val="24"/>
          <w:highlight w:val="none"/>
          <w:lang w:eastAsia="zh-CN"/>
        </w:rPr>
        <w:t>附件3 配置清单</w:t>
      </w:r>
    </w:p>
    <w:p w14:paraId="09F64F7A">
      <w:pPr>
        <w:keepLines/>
        <w:kinsoku/>
        <w:wordWrap w:val="0"/>
        <w:topLinePunct/>
        <w:autoSpaceDE/>
        <w:autoSpaceDN/>
        <w:spacing w:line="360" w:lineRule="auto"/>
        <w:ind w:right="48"/>
        <w:rPr>
          <w:rFonts w:ascii="宋体" w:hAnsi="宋体" w:eastAsia="宋体" w:cs="宋体"/>
          <w:sz w:val="24"/>
          <w:szCs w:val="24"/>
          <w:highlight w:val="none"/>
          <w:lang w:eastAsia="zh-CN"/>
        </w:rPr>
      </w:pPr>
    </w:p>
    <w:p w14:paraId="0B519C3E">
      <w:pPr>
        <w:pStyle w:val="2"/>
        <w:rPr>
          <w:rFonts w:eastAsiaTheme="minorEastAsia"/>
          <w:highlight w:val="none"/>
          <w:lang w:eastAsia="zh-CN"/>
        </w:rPr>
      </w:pPr>
    </w:p>
    <w:p w14:paraId="2202FEFC">
      <w:pPr>
        <w:rPr>
          <w:rFonts w:eastAsiaTheme="minorEastAsia"/>
          <w:highlight w:val="none"/>
          <w:lang w:eastAsia="zh-CN"/>
        </w:rPr>
      </w:pPr>
    </w:p>
    <w:p w14:paraId="1AB8A7AC">
      <w:pPr>
        <w:pStyle w:val="5"/>
        <w:rPr>
          <w:rFonts w:hint="eastAsia"/>
          <w:highlight w:val="none"/>
          <w:lang w:val="en-US" w:eastAsia="zh-Hans"/>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p>
    <w:p w14:paraId="78943C5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CA046B"/>
    <w:multiLevelType w:val="singleLevel"/>
    <w:tmpl w:val="1ECA04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0E6A30"/>
    <w:rsid w:val="0F0E6A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2026-06-05T08:34:00Z</dcterms:created>
  <dc:creator>123</dc:creator>
  <cp:lastModifiedBy>123</cp:lastModifiedBy>
  <dcterms:modified xsi:type="dcterms:W3CDTF">2026-06-05T08:35:07Z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AB030AED64A3426B85D7F9C22CF0451A_11</vt:lpwstr>
  </property>
  <property fmtid="{D5CDD505-2E9C-101B-9397-08002B2CF9AE}" pid="4" name="KSOTemplateDocerSaveRecord">
    <vt:lpwstr>eyJoZGlkIjoiOTEzYTE1NjhmYmI0MDkxYmE1ZjVkMjkwNjA2M2Q0ZDUiLCJ1c2VySWQiOiI0NTE5NDQwNTQifQ==</vt:lpwstr>
  </property>
</Properties>
</file>