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版本号：KY2026-3-07820260605001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高速公路通信货物采购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KY2026-3-078</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高速公路通信货物采购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高速公路通信货物采购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高速公路通信货物采购，具体内容详见招标文件第三章。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7、法定代表人授权书：法定代表人授权书及被授权人身份证复印件。（法定代表人直接投标须提交法定代表人身份证明书及其身份证复印件）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成交金额向采购代理机构交纳成交服务费，交费金额参照国家计委颁布的《招标代理服务收费管理暂行办法》（计价格[2002]1980号）及发改办价格[2003]857号文件的规定标准下浮10%计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信系统是陕西省高速公路信息系统重要的组成部分，承载着全省高速公路联网收费、综合监控、程控交换及视频会议等业务的数据传输，设备出现故障后，对各项依赖高速公路通信系统的业务会产生直接的影响。为保障通信系统持续正常运行，需在国产化要求下进行相应设备采购。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高速公路通信货物采购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标的名称：高速公路通信货物采购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项目概况</w:t>
            </w:r>
            <w:r>
              <w:br/>
            </w:r>
            <w:r>
              <w:rPr>
                <w:rFonts w:ascii="仿宋_GB2312" w:hAnsi="仿宋_GB2312" w:cs="仿宋_GB2312" w:eastAsia="仿宋_GB2312"/>
              </w:rPr>
              <w:t xml:space="preserve"> 通信系统是陕西省高速公路信息系统重要的组成部分，承载着全省高速公路联网收费、综合监控、程控交换及视频会议等业务的数据传输，设备出现故障后，对各项依赖高速公路通信系统的业务会产生直接的影响。为保障通信系统持续正常运行，需在国产化要求下进行相应设备采购。设备支持高速收费中心传输网管统一纳管（投标人提供承诺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采购内容及需求</w:t>
            </w:r>
            <w:r>
              <w:br/>
            </w:r>
            <w:r>
              <w:rPr>
                <w:rFonts w:ascii="仿宋_GB2312" w:hAnsi="仿宋_GB2312" w:cs="仿宋_GB2312" w:eastAsia="仿宋_GB2312"/>
              </w:rPr>
              <w:t xml:space="preserve"> （一）采购内容</w:t>
            </w:r>
            <w:r>
              <w:br/>
            </w:r>
            <w:r>
              <w:rPr>
                <w:rFonts w:ascii="仿宋_GB2312" w:hAnsi="仿宋_GB2312" w:cs="仿宋_GB2312" w:eastAsia="仿宋_GB2312"/>
              </w:rPr>
              <w:t xml:space="preserve"> 本次采购需符合本国产品标准。具体名称及技术参数、数量具体如下：</w:t>
            </w:r>
            <w:r>
              <w:br/>
            </w:r>
            <w:r>
              <w:rPr>
                <w:rFonts w:ascii="仿宋_GB2312" w:hAnsi="仿宋_GB2312" w:cs="仿宋_GB2312" w:eastAsia="仿宋_GB2312"/>
              </w:rPr>
              <w:t xml:space="preserve"> 1、总装插框 数量：1 （核心产品）</w:t>
            </w:r>
            <w:r>
              <w:br/>
            </w:r>
            <w:r>
              <w:rPr>
                <w:rFonts w:ascii="仿宋_GB2312" w:hAnsi="仿宋_GB2312" w:cs="仿宋_GB2312" w:eastAsia="仿宋_GB2312"/>
              </w:rPr>
              <w:t xml:space="preserve"> ①业务槽位数量不小于10个。</w:t>
            </w:r>
            <w:r>
              <w:br/>
            </w:r>
            <w:r>
              <w:rPr>
                <w:rFonts w:ascii="仿宋_GB2312" w:hAnsi="仿宋_GB2312" w:cs="仿宋_GB2312" w:eastAsia="仿宋_GB2312"/>
              </w:rPr>
              <w:t xml:space="preserve"> ②设备需适应长期0～45℃工作环境，采用前维护设计，具备防尘、抗震性能，所有空槽位需配备专用面板，保障设备运行稳定性。</w:t>
            </w:r>
            <w:r>
              <w:br/>
            </w:r>
            <w:r>
              <w:rPr>
                <w:rFonts w:ascii="仿宋_GB2312" w:hAnsi="仿宋_GB2312" w:cs="仿宋_GB2312" w:eastAsia="仿宋_GB2312"/>
              </w:rPr>
              <w:t xml:space="preserve"> ③光电一体化设计，OTN融合平台，满足各种应用场景。</w:t>
            </w:r>
            <w:r>
              <w:br/>
            </w:r>
            <w:r>
              <w:rPr>
                <w:rFonts w:ascii="仿宋_GB2312" w:hAnsi="仿宋_GB2312" w:cs="仿宋_GB2312" w:eastAsia="仿宋_GB2312"/>
              </w:rPr>
              <w:t xml:space="preserve"> ④单纤容量最大可达96Tbit/s。</w:t>
            </w:r>
            <w:r>
              <w:br/>
            </w:r>
            <w:r>
              <w:rPr>
                <w:rFonts w:ascii="仿宋_GB2312" w:hAnsi="仿宋_GB2312" w:cs="仿宋_GB2312" w:eastAsia="仿宋_GB2312"/>
              </w:rPr>
              <w:t xml:space="preserve"> ⑤C+L一体化调度，频谱覆盖C波段@6THz+L波段@6THz。</w:t>
            </w:r>
            <w:r>
              <w:br/>
            </w:r>
            <w:r>
              <w:rPr>
                <w:rFonts w:ascii="仿宋_GB2312" w:hAnsi="仿宋_GB2312" w:cs="仿宋_GB2312" w:eastAsia="仿宋_GB2312"/>
              </w:rPr>
              <w:t xml:space="preserve"> ⑥具备电信设备进网许可证。</w:t>
            </w:r>
            <w:r>
              <w:br/>
            </w:r>
            <w:r>
              <w:rPr>
                <w:rFonts w:ascii="仿宋_GB2312" w:hAnsi="仿宋_GB2312" w:cs="仿宋_GB2312" w:eastAsia="仿宋_GB2312"/>
              </w:rPr>
              <w:t xml:space="preserve"> 2、控制与通信板 数量：2</w:t>
            </w:r>
            <w:r>
              <w:br/>
            </w:r>
            <w:r>
              <w:rPr>
                <w:rFonts w:ascii="仿宋_GB2312" w:hAnsi="仿宋_GB2312" w:cs="仿宋_GB2312" w:eastAsia="仿宋_GB2312"/>
              </w:rPr>
              <w:t xml:space="preserve"> ①带时钟功能的系统辅助通信板。</w:t>
            </w:r>
            <w:r>
              <w:br/>
            </w:r>
            <w:r>
              <w:rPr>
                <w:rFonts w:ascii="仿宋_GB2312" w:hAnsi="仿宋_GB2312" w:cs="仿宋_GB2312" w:eastAsia="仿宋_GB2312"/>
              </w:rPr>
              <w:t xml:space="preserve"> ②实现板间、子架间通信功能，子架内管理功能。</w:t>
            </w:r>
            <w:r>
              <w:br/>
            </w:r>
            <w:r>
              <w:rPr>
                <w:rFonts w:ascii="仿宋_GB2312" w:hAnsi="仿宋_GB2312" w:cs="仿宋_GB2312" w:eastAsia="仿宋_GB2312"/>
              </w:rPr>
              <w:t xml:space="preserve"> ③支持通过IP over DCC和其他协议栈实现各个网元之间的互联通信。</w:t>
            </w:r>
            <w:r>
              <w:br/>
            </w:r>
            <w:r>
              <w:rPr>
                <w:rFonts w:ascii="仿宋_GB2312" w:hAnsi="仿宋_GB2312" w:cs="仿宋_GB2312" w:eastAsia="仿宋_GB2312"/>
              </w:rPr>
              <w:t xml:space="preserve"> 3、光监控信道及时钟传送板 数量：1</w:t>
            </w:r>
            <w:r>
              <w:br/>
            </w:r>
            <w:r>
              <w:rPr>
                <w:rFonts w:ascii="仿宋_GB2312" w:hAnsi="仿宋_GB2312" w:cs="仿宋_GB2312" w:eastAsia="仿宋_GB2312"/>
              </w:rPr>
              <w:t xml:space="preserve"> ①四路光监控信道及时钟传送单元（带公务电话），完成光监控通道信号的收、发控制与处理。</w:t>
            </w:r>
            <w:r>
              <w:br/>
            </w:r>
            <w:r>
              <w:rPr>
                <w:rFonts w:ascii="仿宋_GB2312" w:hAnsi="仿宋_GB2312" w:cs="仿宋_GB2312" w:eastAsia="仿宋_GB2312"/>
              </w:rPr>
              <w:t xml:space="preserve"> ②支持现网光监控信道对接及速率匹配。</w:t>
            </w:r>
            <w:r>
              <w:br/>
            </w:r>
            <w:r>
              <w:rPr>
                <w:rFonts w:ascii="仿宋_GB2312" w:hAnsi="仿宋_GB2312" w:cs="仿宋_GB2312" w:eastAsia="仿宋_GB2312"/>
              </w:rPr>
              <w:t xml:space="preserve"> 4、合波板 数量：1</w:t>
            </w:r>
            <w:r>
              <w:br/>
            </w:r>
            <w:r>
              <w:rPr>
                <w:rFonts w:ascii="仿宋_GB2312" w:hAnsi="仿宋_GB2312" w:cs="仿宋_GB2312" w:eastAsia="仿宋_GB2312"/>
              </w:rPr>
              <w:t xml:space="preserve"> ①支持实现将最多60路单波长光信号复用进1路合波光信号。可将最多60路100GHz固定间隔偶波光信号复用进1路合波信号。</w:t>
            </w:r>
            <w:r>
              <w:br/>
            </w:r>
            <w:r>
              <w:rPr>
                <w:rFonts w:ascii="仿宋_GB2312" w:hAnsi="仿宋_GB2312" w:cs="仿宋_GB2312" w:eastAsia="仿宋_GB2312"/>
              </w:rPr>
              <w:t xml:space="preserve"> ②提供在线监测光口，支持在不中断业务的情况下，监测合波光信号的光谱和光性能。</w:t>
            </w:r>
            <w:r>
              <w:br/>
            </w:r>
            <w:r>
              <w:rPr>
                <w:rFonts w:ascii="仿宋_GB2312" w:hAnsi="仿宋_GB2312" w:cs="仿宋_GB2312" w:eastAsia="仿宋_GB2312"/>
              </w:rPr>
              <w:t xml:space="preserve"> 5、分波板 数量：1</w:t>
            </w:r>
            <w:r>
              <w:br/>
            </w:r>
            <w:r>
              <w:rPr>
                <w:rFonts w:ascii="仿宋_GB2312" w:hAnsi="仿宋_GB2312" w:cs="仿宋_GB2312" w:eastAsia="仿宋_GB2312"/>
              </w:rPr>
              <w:t xml:space="preserve"> ①支持将1路合波光信号解复用为最多60路单波长光信号。</w:t>
            </w:r>
            <w:r>
              <w:br/>
            </w:r>
            <w:r>
              <w:rPr>
                <w:rFonts w:ascii="仿宋_GB2312" w:hAnsi="仿宋_GB2312" w:cs="仿宋_GB2312" w:eastAsia="仿宋_GB2312"/>
              </w:rPr>
              <w:t xml:space="preserve"> ②提供在线监测光口，支持在不中断业务的情况下，监测合波光信号的光谱和光性能。</w:t>
            </w:r>
            <w:r>
              <w:br/>
            </w:r>
            <w:r>
              <w:rPr>
                <w:rFonts w:ascii="仿宋_GB2312" w:hAnsi="仿宋_GB2312" w:cs="仿宋_GB2312" w:eastAsia="仿宋_GB2312"/>
              </w:rPr>
              <w:t xml:space="preserve"> 6、光放基板 数量：1</w:t>
            </w:r>
            <w:r>
              <w:br/>
            </w:r>
            <w:r>
              <w:rPr>
                <w:rFonts w:ascii="仿宋_GB2312" w:hAnsi="仿宋_GB2312" w:cs="仿宋_GB2312" w:eastAsia="仿宋_GB2312"/>
              </w:rPr>
              <w:t xml:space="preserve"> ①扩展C波段双路可插拔光放基板，可放大扩展C波段的光信号，总波长范围覆盖1528.8nm～1567.6nm。</w:t>
            </w:r>
            <w:r>
              <w:br/>
            </w:r>
            <w:r>
              <w:rPr>
                <w:rFonts w:ascii="仿宋_GB2312" w:hAnsi="仿宋_GB2312" w:cs="仿宋_GB2312" w:eastAsia="仿宋_GB2312"/>
              </w:rPr>
              <w:t xml:space="preserve"> ②可以支持系统实现不同跨段的无电中继传输。</w:t>
            </w:r>
            <w:r>
              <w:br/>
            </w:r>
            <w:r>
              <w:rPr>
                <w:rFonts w:ascii="仿宋_GB2312" w:hAnsi="仿宋_GB2312" w:cs="仿宋_GB2312" w:eastAsia="仿宋_GB2312"/>
              </w:rPr>
              <w:t xml:space="preserve"> ③支持增益锁定模式、功率锁定模式和APC模式。</w:t>
            </w:r>
            <w:r>
              <w:br/>
            </w:r>
            <w:r>
              <w:rPr>
                <w:rFonts w:ascii="仿宋_GB2312" w:hAnsi="仿宋_GB2312" w:cs="仿宋_GB2312" w:eastAsia="仿宋_GB2312"/>
              </w:rPr>
              <w:t xml:space="preserve"> 7、光放大板 数量：2</w:t>
            </w:r>
            <w:r>
              <w:br/>
            </w:r>
            <w:r>
              <w:rPr>
                <w:rFonts w:ascii="仿宋_GB2312" w:hAnsi="仿宋_GB2312" w:cs="仿宋_GB2312" w:eastAsia="仿宋_GB2312"/>
              </w:rPr>
              <w:t xml:space="preserve"> ①光放大单板放大能力需满足本次项目光缆实际衰耗。</w:t>
            </w:r>
            <w:r>
              <w:br/>
            </w:r>
            <w:r>
              <w:rPr>
                <w:rFonts w:ascii="仿宋_GB2312" w:hAnsi="仿宋_GB2312" w:cs="仿宋_GB2312" w:eastAsia="仿宋_GB2312"/>
              </w:rPr>
              <w:t xml:space="preserve"> ②具备自动功率控制、光功率实时监测、自动关断功能。</w:t>
            </w:r>
            <w:r>
              <w:br/>
            </w:r>
            <w:r>
              <w:rPr>
                <w:rFonts w:ascii="仿宋_GB2312" w:hAnsi="仿宋_GB2312" w:cs="仿宋_GB2312" w:eastAsia="仿宋_GB2312"/>
              </w:rPr>
              <w:t xml:space="preserve"> ③支持MON口在线光谱监测，可实时监测光放大链路状态。</w:t>
            </w:r>
            <w:r>
              <w:br/>
            </w:r>
            <w:r>
              <w:rPr>
                <w:rFonts w:ascii="仿宋_GB2312" w:hAnsi="仿宋_GB2312" w:cs="仿宋_GB2312" w:eastAsia="仿宋_GB2312"/>
              </w:rPr>
              <w:t xml:space="preserve"> ④支持光线路保护，提升光传输链路的可靠性。</w:t>
            </w:r>
            <w:r>
              <w:br/>
            </w:r>
            <w:r>
              <w:rPr>
                <w:rFonts w:ascii="仿宋_GB2312" w:hAnsi="仿宋_GB2312" w:cs="仿宋_GB2312" w:eastAsia="仿宋_GB2312"/>
              </w:rPr>
              <w:t xml:space="preserve"> 8、单波板 数量：1</w:t>
            </w:r>
            <w:r>
              <w:br/>
            </w:r>
            <w:r>
              <w:rPr>
                <w:rFonts w:ascii="仿宋_GB2312" w:hAnsi="仿宋_GB2312" w:cs="仿宋_GB2312" w:eastAsia="仿宋_GB2312"/>
              </w:rPr>
              <w:t xml:space="preserve"> ①需实现12路10G线路业务处理能力（可以通过增加单板方式实现）</w:t>
            </w:r>
            <w:r>
              <w:br/>
            </w:r>
            <w:r>
              <w:rPr>
                <w:rFonts w:ascii="仿宋_GB2312" w:hAnsi="仿宋_GB2312" w:cs="仿宋_GB2312" w:eastAsia="仿宋_GB2312"/>
              </w:rPr>
              <w:t xml:space="preserve"> ②支持波长可调光模块。</w:t>
            </w:r>
            <w:r>
              <w:br/>
            </w:r>
            <w:r>
              <w:rPr>
                <w:rFonts w:ascii="仿宋_GB2312" w:hAnsi="仿宋_GB2312" w:cs="仿宋_GB2312" w:eastAsia="仿宋_GB2312"/>
              </w:rPr>
              <w:t xml:space="preserve"> ③可实现波分侧光信号在C波段100GHz间隔的40波范围内可调。</w:t>
            </w:r>
            <w:r>
              <w:br/>
            </w:r>
            <w:r>
              <w:rPr>
                <w:rFonts w:ascii="仿宋_GB2312" w:hAnsi="仿宋_GB2312" w:cs="仿宋_GB2312" w:eastAsia="仿宋_GB2312"/>
              </w:rPr>
              <w:t xml:space="preserve"> ④波分侧光信号在C波段50GHz间隔的80波范围内可调。</w:t>
            </w:r>
            <w:r>
              <w:br/>
            </w:r>
            <w:r>
              <w:rPr>
                <w:rFonts w:ascii="仿宋_GB2312" w:hAnsi="仿宋_GB2312" w:cs="仿宋_GB2312" w:eastAsia="仿宋_GB2312"/>
              </w:rPr>
              <w:t xml:space="preserve"> ⑤波分侧支持OTU0/OTU1/OTU2/OTU2e接口。</w:t>
            </w:r>
            <w:r>
              <w:br/>
            </w:r>
            <w:r>
              <w:rPr>
                <w:rFonts w:ascii="仿宋_GB2312" w:hAnsi="仿宋_GB2312" w:cs="仿宋_GB2312" w:eastAsia="仿宋_GB2312"/>
              </w:rPr>
              <w:t xml:space="preserve"> 9、业务板 数量：1</w:t>
            </w:r>
            <w:r>
              <w:br/>
            </w:r>
            <w:r>
              <w:rPr>
                <w:rFonts w:ascii="仿宋_GB2312" w:hAnsi="仿宋_GB2312" w:cs="仿宋_GB2312" w:eastAsia="仿宋_GB2312"/>
              </w:rPr>
              <w:t xml:space="preserve"> ①需实现12路10G支路业务处理能力（可以通过增加单板方式实现）</w:t>
            </w:r>
            <w:r>
              <w:br/>
            </w:r>
            <w:r>
              <w:rPr>
                <w:rFonts w:ascii="仿宋_GB2312" w:hAnsi="仿宋_GB2312" w:cs="仿宋_GB2312" w:eastAsia="仿宋_GB2312"/>
              </w:rPr>
              <w:t xml:space="preserve"> ②当接入OTU1/OTU2/OTU2e业务时，支持FEC编码。</w:t>
            </w:r>
            <w:r>
              <w:br/>
            </w:r>
            <w:r>
              <w:rPr>
                <w:rFonts w:ascii="仿宋_GB2312" w:hAnsi="仿宋_GB2312" w:cs="仿宋_GB2312" w:eastAsia="仿宋_GB2312"/>
              </w:rPr>
              <w:t xml:space="preserve"> ③当接入25GE/FC3200业务时，支持RSFEC编码。</w:t>
            </w:r>
            <w:r>
              <w:br/>
            </w:r>
            <w:r>
              <w:rPr>
                <w:rFonts w:ascii="仿宋_GB2312" w:hAnsi="仿宋_GB2312" w:cs="仿宋_GB2312" w:eastAsia="仿宋_GB2312"/>
              </w:rPr>
              <w:t xml:space="preserve"> 10、模块 数量：1</w:t>
            </w:r>
            <w:r>
              <w:br/>
            </w:r>
            <w:r>
              <w:rPr>
                <w:rFonts w:ascii="仿宋_GB2312" w:hAnsi="仿宋_GB2312" w:cs="仿宋_GB2312" w:eastAsia="仿宋_GB2312"/>
              </w:rPr>
              <w:t xml:space="preserve"> ①单波可调波长模块，满足不同波长自由切换使用。</w:t>
            </w:r>
            <w:r>
              <w:br/>
            </w:r>
            <w:r>
              <w:rPr>
                <w:rFonts w:ascii="仿宋_GB2312" w:hAnsi="仿宋_GB2312" w:cs="仿宋_GB2312" w:eastAsia="仿宋_GB2312"/>
              </w:rPr>
              <w:t xml:space="preserve"> （二）质量要求</w:t>
            </w:r>
            <w:r>
              <w:br/>
            </w:r>
            <w:r>
              <w:rPr>
                <w:rFonts w:ascii="仿宋_GB2312" w:hAnsi="仿宋_GB2312" w:cs="仿宋_GB2312" w:eastAsia="仿宋_GB2312"/>
              </w:rPr>
              <w:t xml:space="preserve"> 供应商提供的设备必须同时满足以下标准：国家及相关部门的相应产业标准;通过国家或行业相关的产品测试;生产厂家对设备产品的技术性能描述。所有设备必须为原厂产品，带有唯一序列号，可被设备网管系统识别。</w:t>
            </w:r>
            <w:r>
              <w:br/>
            </w:r>
            <w:r>
              <w:rPr>
                <w:rFonts w:ascii="仿宋_GB2312" w:hAnsi="仿宋_GB2312" w:cs="仿宋_GB2312" w:eastAsia="仿宋_GB2312"/>
              </w:rPr>
              <w:t xml:space="preserve"> （三）包装及运输要求</w:t>
            </w:r>
            <w:r>
              <w:br/>
            </w:r>
            <w:r>
              <w:rPr>
                <w:rFonts w:ascii="仿宋_GB2312" w:hAnsi="仿宋_GB2312" w:cs="仿宋_GB2312" w:eastAsia="仿宋_GB2312"/>
              </w:rPr>
              <w:t xml:space="preserve"> 供应商提供的货物须为原厂原包装，包装完好完整、无破损、未开封。国家对包装及运输有相关强制性标准或要求的，供应商应当执行。每一个包装箱内应附一份详细装箱单、质量合格证书、保修证书、产品使用说明书及其它必要的技术资料、随配附件和工具等。</w:t>
            </w:r>
            <w:r>
              <w:br/>
            </w:r>
            <w:r>
              <w:rPr>
                <w:rFonts w:ascii="仿宋_GB2312" w:hAnsi="仿宋_GB2312" w:cs="仿宋_GB2312" w:eastAsia="仿宋_GB2312"/>
              </w:rPr>
              <w:t xml:space="preserve"> （四）知识产权</w:t>
            </w:r>
            <w:r>
              <w:br/>
            </w:r>
            <w:r>
              <w:rPr>
                <w:rFonts w:ascii="仿宋_GB2312" w:hAnsi="仿宋_GB2312" w:cs="仿宋_GB2312" w:eastAsia="仿宋_GB2312"/>
              </w:rPr>
              <w:t xml:space="preserve"> 供应商应保证在本项目中使用的任何产品和服务（包括部分使用），不会产生因第三方提出侵犯其专利权、商标权或其它知识产权而引起的法律和经济纠纷。</w:t>
            </w:r>
            <w:r>
              <w:br/>
            </w:r>
            <w:r>
              <w:rPr>
                <w:rFonts w:ascii="仿宋_GB2312" w:hAnsi="仿宋_GB2312" w:cs="仿宋_GB2312" w:eastAsia="仿宋_GB2312"/>
              </w:rPr>
              <w:t xml:space="preserve"> （五）质保要求</w:t>
            </w:r>
            <w:r>
              <w:br/>
            </w:r>
            <w:r>
              <w:rPr>
                <w:rFonts w:ascii="仿宋_GB2312" w:hAnsi="仿宋_GB2312" w:cs="仿宋_GB2312" w:eastAsia="仿宋_GB2312"/>
              </w:rPr>
              <w:t xml:space="preserve"> 供应商需提供原厂工程师安装硬件上架部署服务及配置，提供3年原厂维保。</w:t>
            </w:r>
            <w:r>
              <w:br/>
            </w:r>
            <w:r>
              <w:rPr>
                <w:rFonts w:ascii="仿宋_GB2312" w:hAnsi="仿宋_GB2312" w:cs="仿宋_GB2312" w:eastAsia="仿宋_GB2312"/>
              </w:rPr>
              <w:t xml:space="preserve"> （六）供应链管理要求</w:t>
            </w:r>
            <w:r>
              <w:br/>
            </w:r>
            <w:r>
              <w:rPr>
                <w:rFonts w:ascii="仿宋_GB2312" w:hAnsi="仿宋_GB2312" w:cs="仿宋_GB2312" w:eastAsia="仿宋_GB2312"/>
              </w:rPr>
              <w:t xml:space="preserve"> 供应商应严格落实网络安全和保密及人员管理要求，承担相应人员的网络安全和保密及人员管理责任，按要求签订协议和承诺书。供应商应强化设备产品供应的及时性，确保不发生设备产品的变更。</w:t>
            </w:r>
            <w:r>
              <w:br/>
            </w:r>
            <w:r>
              <w:rPr>
                <w:rFonts w:ascii="仿宋_GB2312" w:hAnsi="仿宋_GB2312" w:cs="仿宋_GB2312" w:eastAsia="仿宋_GB2312"/>
              </w:rPr>
              <w:t xml:space="preserve"> （七）培训要求</w:t>
            </w:r>
            <w:r>
              <w:br/>
            </w:r>
            <w:r>
              <w:rPr>
                <w:rFonts w:ascii="仿宋_GB2312" w:hAnsi="仿宋_GB2312" w:cs="仿宋_GB2312" w:eastAsia="仿宋_GB2312"/>
              </w:rPr>
              <w:t xml:space="preserve"> 供应商应在项目实施期间为采购人技术人员提供不少于一次的涉及本项目产品内容的专题技术培训，使受培训人员能够独立、熟练操作直至提供的产品可以正常使用为止。</w:t>
            </w:r>
            <w:r>
              <w:br/>
            </w:r>
            <w:r>
              <w:rPr>
                <w:rFonts w:ascii="仿宋_GB2312" w:hAnsi="仿宋_GB2312" w:cs="仿宋_GB2312" w:eastAsia="仿宋_GB2312"/>
              </w:rPr>
              <w:t xml:space="preserve"> （八）合同签订</w:t>
            </w:r>
            <w:r>
              <w:br/>
            </w:r>
            <w:r>
              <w:rPr>
                <w:rFonts w:ascii="仿宋_GB2312" w:hAnsi="仿宋_GB2312" w:cs="仿宋_GB2312" w:eastAsia="仿宋_GB2312"/>
              </w:rPr>
              <w:t xml:space="preserve"> 供应商应配合采购方在法定时间内完成合同的签订工作，签订地点由采购方指定。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项目实施要求</w:t>
            </w:r>
          </w:p>
          <w:p>
            <w:pPr>
              <w:pStyle w:val="null3"/>
            </w:pPr>
            <w:r>
              <w:rPr>
                <w:rFonts w:ascii="仿宋_GB2312" w:hAnsi="仿宋_GB2312" w:cs="仿宋_GB2312" w:eastAsia="仿宋_GB2312"/>
                <w:sz w:val="20"/>
              </w:rPr>
              <w:t>（一）实施期限要求</w:t>
            </w:r>
          </w:p>
          <w:p>
            <w:pPr>
              <w:pStyle w:val="null3"/>
            </w:pPr>
            <w:r>
              <w:rPr>
                <w:rFonts w:ascii="仿宋_GB2312" w:hAnsi="仿宋_GB2312" w:cs="仿宋_GB2312" w:eastAsia="仿宋_GB2312"/>
                <w:sz w:val="20"/>
              </w:rPr>
              <w:t>1.供应商须在合同签订之日（含）起150个日历天内完成货物安装、并配合采购人完成交付验收、通过最终验收。</w:t>
            </w:r>
          </w:p>
          <w:p>
            <w:pPr>
              <w:pStyle w:val="null3"/>
            </w:pPr>
            <w:r>
              <w:rPr>
                <w:rFonts w:ascii="仿宋_GB2312" w:hAnsi="仿宋_GB2312" w:cs="仿宋_GB2312" w:eastAsia="仿宋_GB2312"/>
                <w:sz w:val="20"/>
              </w:rPr>
              <w:t>2.自开工令发出之日（含）起，所需设备供应商需在30个日历天内运抵采购人指定地点，由采购人组织开箱检验。开箱检验通过仅表明设备表面符合约定，不视为对设备内在质量、技术性能的认可。</w:t>
            </w:r>
          </w:p>
          <w:p>
            <w:pPr>
              <w:pStyle w:val="null3"/>
            </w:pPr>
            <w:r>
              <w:rPr>
                <w:rFonts w:ascii="仿宋_GB2312" w:hAnsi="仿宋_GB2312" w:cs="仿宋_GB2312" w:eastAsia="仿宋_GB2312"/>
                <w:sz w:val="20"/>
              </w:rPr>
              <w:t>3.自开箱检验通过之日起（含），30个日历天内，供应商需完成设备上架部署安装、并提出书面交付验收申请。</w:t>
            </w:r>
          </w:p>
          <w:p>
            <w:pPr>
              <w:pStyle w:val="null3"/>
            </w:pPr>
            <w:r>
              <w:rPr>
                <w:rFonts w:ascii="仿宋_GB2312" w:hAnsi="仿宋_GB2312" w:cs="仿宋_GB2312" w:eastAsia="仿宋_GB2312"/>
                <w:sz w:val="20"/>
              </w:rPr>
              <w:t>4.交付验收通过之日起（含），设备上架30个日历天且运行平稳后，供应商应于7个日历天内及时提出书面最终验收申请。</w:t>
            </w:r>
          </w:p>
          <w:p>
            <w:pPr>
              <w:pStyle w:val="null3"/>
            </w:pPr>
            <w:r>
              <w:rPr>
                <w:rFonts w:ascii="仿宋_GB2312" w:hAnsi="仿宋_GB2312" w:cs="仿宋_GB2312" w:eastAsia="仿宋_GB2312"/>
                <w:sz w:val="20"/>
              </w:rPr>
              <w:t>（二）实施地点</w:t>
            </w:r>
          </w:p>
          <w:p>
            <w:pPr>
              <w:pStyle w:val="null3"/>
            </w:pPr>
            <w:r>
              <w:rPr>
                <w:rFonts w:ascii="仿宋_GB2312" w:hAnsi="仿宋_GB2312" w:cs="仿宋_GB2312" w:eastAsia="仿宋_GB2312"/>
                <w:sz w:val="20"/>
              </w:rPr>
              <w:t>陕西省高速公路收费中心。</w:t>
            </w:r>
          </w:p>
          <w:p>
            <w:pPr>
              <w:pStyle w:val="null3"/>
            </w:pPr>
            <w:r>
              <w:rPr>
                <w:rFonts w:ascii="仿宋_GB2312" w:hAnsi="仿宋_GB2312" w:cs="仿宋_GB2312" w:eastAsia="仿宋_GB2312"/>
                <w:sz w:val="20"/>
              </w:rPr>
              <w:t>（三）网络安全要求</w:t>
            </w:r>
          </w:p>
          <w:p>
            <w:pPr>
              <w:pStyle w:val="null3"/>
            </w:pPr>
            <w:r>
              <w:rPr>
                <w:rFonts w:ascii="仿宋_GB2312" w:hAnsi="仿宋_GB2312" w:cs="仿宋_GB2312" w:eastAsia="仿宋_GB2312"/>
                <w:sz w:val="20"/>
              </w:rPr>
              <w:t>供应商所提供的产品应符合国家及行业相关网络安全技术标准与规范要求，能够有效保障设备运行安全与数据安全，按照要求签署网络安全责任协议。</w:t>
            </w:r>
          </w:p>
          <w:p>
            <w:pPr>
              <w:pStyle w:val="null3"/>
            </w:pPr>
            <w:r>
              <w:rPr>
                <w:rFonts w:ascii="仿宋_GB2312" w:hAnsi="仿宋_GB2312" w:cs="仿宋_GB2312" w:eastAsia="仿宋_GB2312"/>
                <w:sz w:val="20"/>
              </w:rPr>
              <w:t>（四）资产管理要求</w:t>
            </w:r>
          </w:p>
          <w:p>
            <w:pPr>
              <w:pStyle w:val="null3"/>
            </w:pPr>
            <w:r>
              <w:rPr>
                <w:rFonts w:ascii="仿宋_GB2312" w:hAnsi="仿宋_GB2312" w:cs="仿宋_GB2312" w:eastAsia="仿宋_GB2312"/>
                <w:sz w:val="20"/>
              </w:rPr>
              <w:t>供应商应整理本项目实施过程中所涉及的相关资产，包括但不限于产品合格证、资产台账、网络拓扑等资产，并及时向采购人提交纸质资料和电子资料。</w:t>
            </w:r>
          </w:p>
          <w:p>
            <w:pPr>
              <w:pStyle w:val="null3"/>
            </w:pPr>
            <w:r>
              <w:rPr>
                <w:rFonts w:ascii="仿宋_GB2312" w:hAnsi="仿宋_GB2312" w:cs="仿宋_GB2312" w:eastAsia="仿宋_GB2312"/>
                <w:sz w:val="20"/>
              </w:rPr>
              <w:t>（五）人员要求</w:t>
            </w:r>
          </w:p>
          <w:p>
            <w:pPr>
              <w:pStyle w:val="null3"/>
            </w:pPr>
            <w:r>
              <w:rPr>
                <w:rFonts w:ascii="仿宋_GB2312" w:hAnsi="仿宋_GB2312" w:cs="仿宋_GB2312" w:eastAsia="仿宋_GB2312"/>
                <w:sz w:val="20"/>
              </w:rPr>
              <w:t>设备安装调试之日起至最终验收合格之日止，在项目现场派驻1名原厂或具有原厂认证的专业工程师提供驻场服务，负责设备安装指导、单机调试、系统联调、业务开通、配合验收及现场技术支持等工作。</w:t>
            </w:r>
          </w:p>
          <w:p>
            <w:pPr>
              <w:pStyle w:val="null3"/>
            </w:pPr>
            <w:r>
              <w:rPr>
                <w:rFonts w:ascii="仿宋_GB2312" w:hAnsi="仿宋_GB2312" w:cs="仿宋_GB2312" w:eastAsia="仿宋_GB2312"/>
                <w:sz w:val="20"/>
              </w:rPr>
              <w:t>项目实施团队需具备同类项目实施经验。项目团队成员一经确认，原则上不得更换。如因特殊情况确需调整，须提前15个日历天向采购人提交书面申请，经采购人审核同意后方可更换，且替换人员的职称、专业背景、从业年限及项目经验不得低于原定人员标准，确保项目服务质量不受影响。</w:t>
            </w:r>
          </w:p>
          <w:p>
            <w:pPr>
              <w:pStyle w:val="null3"/>
            </w:pPr>
            <w:r>
              <w:rPr>
                <w:rFonts w:ascii="仿宋_GB2312" w:hAnsi="仿宋_GB2312" w:cs="仿宋_GB2312" w:eastAsia="仿宋_GB2312"/>
                <w:sz w:val="20"/>
              </w:rPr>
              <w:t>（六）履约验收要求</w:t>
            </w:r>
          </w:p>
          <w:p>
            <w:pPr>
              <w:pStyle w:val="null3"/>
            </w:pPr>
            <w:r>
              <w:rPr>
                <w:rFonts w:ascii="仿宋_GB2312" w:hAnsi="仿宋_GB2312" w:cs="仿宋_GB2312" w:eastAsia="仿宋_GB2312"/>
                <w:sz w:val="20"/>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pPr>
              <w:pStyle w:val="null3"/>
            </w:pPr>
            <w:r>
              <w:rPr>
                <w:rFonts w:ascii="仿宋_GB2312" w:hAnsi="仿宋_GB2312" w:cs="仿宋_GB2312" w:eastAsia="仿宋_GB2312"/>
                <w:sz w:val="20"/>
              </w:rPr>
              <w:t>（七）售后服务要求</w:t>
            </w:r>
          </w:p>
          <w:p>
            <w:pPr>
              <w:pStyle w:val="null3"/>
            </w:pPr>
            <w:r>
              <w:rPr>
                <w:rFonts w:ascii="仿宋_GB2312" w:hAnsi="仿宋_GB2312" w:cs="仿宋_GB2312" w:eastAsia="仿宋_GB2312"/>
                <w:sz w:val="20"/>
              </w:rPr>
              <w:t>质量保证期从最终验收合格之日（含）起计算，时间为三年。</w:t>
            </w:r>
          </w:p>
          <w:p>
            <w:pPr>
              <w:pStyle w:val="null3"/>
            </w:pPr>
            <w:r>
              <w:rPr>
                <w:rFonts w:ascii="仿宋_GB2312" w:hAnsi="仿宋_GB2312" w:cs="仿宋_GB2312" w:eastAsia="仿宋_GB2312"/>
                <w:sz w:val="20"/>
              </w:rPr>
              <w:t>质量保证期服务方式要求采用7*24小时远程电话值守。工作日内，供应商应在30分钟内故障响应，2小时内上门服务并给出故障解决方案，接响应后3小时内排除故障，恢复正常使用。其他时间应在60分钟内故障响应，4小时内上门服务并给出故障解决方案，接响应后5小时内排除故障，恢复正常使用。若相应时间内无法解决故障，应提供备用设备。</w:t>
            </w:r>
          </w:p>
          <w:p>
            <w:pPr>
              <w:pStyle w:val="null3"/>
            </w:pPr>
            <w:r>
              <w:rPr>
                <w:rFonts w:ascii="仿宋_GB2312" w:hAnsi="仿宋_GB2312" w:cs="仿宋_GB2312" w:eastAsia="仿宋_GB2312"/>
                <w:sz w:val="20"/>
              </w:rPr>
              <w:t>质量保证期内维修使用的备品备件、易损件等应为原厂配件。</w:t>
            </w:r>
          </w:p>
          <w:p>
            <w:pPr>
              <w:pStyle w:val="null3"/>
            </w:pPr>
            <w:r>
              <w:rPr>
                <w:rFonts w:ascii="仿宋_GB2312" w:hAnsi="仿宋_GB2312" w:cs="仿宋_GB2312" w:eastAsia="仿宋_GB2312"/>
                <w:sz w:val="20"/>
              </w:rPr>
              <w:t>质量保证期内供应商须提供三年产品原厂硬件质保。</w:t>
            </w:r>
          </w:p>
          <w:p>
            <w:pPr>
              <w:pStyle w:val="null3"/>
            </w:pPr>
            <w:r>
              <w:rPr>
                <w:rFonts w:ascii="仿宋_GB2312" w:hAnsi="仿宋_GB2312" w:cs="仿宋_GB2312" w:eastAsia="仿宋_GB2312"/>
                <w:sz w:val="20"/>
              </w:rPr>
              <w:t>质量保证期内供应商所提供的所有技术支持和服务费用以及上门维修、更换零部件费用由供应商提供，采购人不在另行支付。</w:t>
            </w:r>
          </w:p>
          <w:p>
            <w:pPr>
              <w:pStyle w:val="null3"/>
            </w:pPr>
            <w:r>
              <w:rPr>
                <w:rFonts w:ascii="仿宋_GB2312" w:hAnsi="仿宋_GB2312" w:cs="仿宋_GB2312" w:eastAsia="仿宋_GB2312"/>
                <w:sz w:val="20"/>
              </w:rPr>
              <w:t>（八）保密要求</w:t>
            </w:r>
          </w:p>
          <w:p>
            <w:pPr>
              <w:pStyle w:val="null3"/>
            </w:pPr>
            <w:r>
              <w:rPr>
                <w:rFonts w:ascii="仿宋_GB2312" w:hAnsi="仿宋_GB2312" w:cs="仿宋_GB2312" w:eastAsia="仿宋_GB2312"/>
                <w:sz w:val="20"/>
              </w:rPr>
              <w:t>供应商方应对在项目实施及履行过程中所接触的采购人信息，包括但不限于知识产权、技术资料、内部管理及其他相关信息，负有保密义务。保密期限不受合同有效期的限制，在合同有效期结束后，供应商仍应承担保密义务。</w:t>
            </w:r>
          </w:p>
          <w:p>
            <w:pPr>
              <w:pStyle w:val="null3"/>
            </w:pPr>
            <w:r>
              <w:rPr>
                <w:rFonts w:ascii="仿宋_GB2312" w:hAnsi="仿宋_GB2312" w:cs="仿宋_GB2312" w:eastAsia="仿宋_GB2312"/>
                <w:sz w:val="20"/>
              </w:rPr>
              <w:t>（九）违约责任</w:t>
            </w:r>
          </w:p>
          <w:p>
            <w:pPr>
              <w:pStyle w:val="null3"/>
            </w:pPr>
            <w:r>
              <w:rPr>
                <w:rFonts w:ascii="仿宋_GB2312" w:hAnsi="仿宋_GB2312" w:cs="仿宋_GB2312" w:eastAsia="仿宋_GB2312"/>
                <w:sz w:val="20"/>
              </w:rPr>
              <w:t>1.供应商延迟交付货物的，应向采购人支付延迟违约金。延迟违约金的计算方法如下：每延迟一天向采购人偿付违约货款额3‰违约金，但违约金累计不超过违约货款额3%。超过10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天采购人有权解除合同，供应商承担因此给采购人造成经济损失。</w:t>
            </w:r>
          </w:p>
          <w:p>
            <w:pPr>
              <w:pStyle w:val="null3"/>
            </w:pPr>
            <w:r>
              <w:rPr>
                <w:rFonts w:ascii="仿宋_GB2312" w:hAnsi="仿宋_GB2312" w:cs="仿宋_GB2312" w:eastAsia="仿宋_GB2312"/>
                <w:sz w:val="20"/>
              </w:rPr>
              <w:t>2.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pPr>
              <w:pStyle w:val="null3"/>
            </w:pPr>
            <w:r>
              <w:rPr>
                <w:rFonts w:ascii="仿宋_GB2312" w:hAnsi="仿宋_GB2312" w:cs="仿宋_GB2312" w:eastAsia="仿宋_GB2312"/>
                <w:sz w:val="20"/>
              </w:rPr>
              <w:t>3.项目实施过程中，对全省业务正常运行影响达到6小时的，每次扣款5000元；每增加6小时，增加5000元；24小时内最高扣款金额20000元。影响全省业务正常运行超过24小时，或有必要根据实际造成的损失及影响进行责任追究的，采购人有权进行责任追究。</w:t>
            </w:r>
          </w:p>
          <w:p>
            <w:pPr>
              <w:pStyle w:val="null3"/>
            </w:pPr>
            <w:r>
              <w:rPr>
                <w:rFonts w:ascii="仿宋_GB2312" w:hAnsi="仿宋_GB2312" w:cs="仿宋_GB2312" w:eastAsia="仿宋_GB2312"/>
                <w:sz w:val="20"/>
              </w:rPr>
              <w:t>4.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pPr>
              <w:pStyle w:val="null3"/>
            </w:pPr>
            <w:r>
              <w:rPr>
                <w:rFonts w:ascii="仿宋_GB2312" w:hAnsi="仿宋_GB2312" w:cs="仿宋_GB2312" w:eastAsia="仿宋_GB2312"/>
                <w:sz w:val="20"/>
              </w:rPr>
              <w:t>5.上述2、3、4项情形累计发生3次及以上，采购方除按照上述标准扣除违约金外，有权单方面解除本合同。</w:t>
            </w:r>
          </w:p>
          <w:p>
            <w:pPr>
              <w:pStyle w:val="null3"/>
            </w:pPr>
            <w:r>
              <w:rPr>
                <w:rFonts w:ascii="仿宋_GB2312" w:hAnsi="仿宋_GB2312" w:cs="仿宋_GB2312" w:eastAsia="仿宋_GB2312"/>
                <w:sz w:val="20"/>
              </w:rPr>
              <w:t>6.因供应商原因，自合同签订之日起150个日历天内未完成项目所有工作内容或未提交项目交付成果，供应商应向采购方支付合同总价款的20%违约金，采购方有权从合同支付费用中扣除。</w:t>
            </w:r>
          </w:p>
          <w:p>
            <w:pPr>
              <w:pStyle w:val="null3"/>
            </w:pPr>
            <w:r>
              <w:rPr>
                <w:rFonts w:ascii="仿宋_GB2312" w:hAnsi="仿宋_GB2312" w:cs="仿宋_GB2312" w:eastAsia="仿宋_GB2312"/>
                <w:sz w:val="20"/>
              </w:rPr>
              <w:t>7.上述违约金直接从未支付的合同金额中扣减，如合同剩余金额不足扣减违约金，供应商应在规定时限内向采购人支付违约金。</w:t>
            </w:r>
          </w:p>
          <w:p>
            <w:pPr>
              <w:pStyle w:val="null3"/>
            </w:pPr>
            <w:r>
              <w:rPr>
                <w:rFonts w:ascii="仿宋_GB2312" w:hAnsi="仿宋_GB2312" w:cs="仿宋_GB2312" w:eastAsia="仿宋_GB2312"/>
                <w:sz w:val="20"/>
              </w:rPr>
              <w:t>8.因供应商原因，导致合同无法按时签订的，视为对项目的自动放弃，采购方有权取消供应商的中标或成交资格、并有权依据采购文件中的约定及相关法律规定，追究供应商的违约责任。</w:t>
            </w:r>
          </w:p>
          <w:p>
            <w:pPr>
              <w:pStyle w:val="null3"/>
            </w:pPr>
            <w:r>
              <w:rPr>
                <w:rFonts w:ascii="仿宋_GB2312" w:hAnsi="仿宋_GB2312" w:cs="仿宋_GB2312" w:eastAsia="仿宋_GB2312"/>
                <w:sz w:val="20"/>
              </w:rPr>
              <w:t>9.因供应商泄密或操作不当造成采购人利益损害，除一切后果与法律责任由供应商承担，采购人有权要求供应商赔偿经济损失。</w:t>
            </w:r>
          </w:p>
          <w:p>
            <w:pPr>
              <w:pStyle w:val="null3"/>
            </w:pPr>
            <w:r>
              <w:rPr>
                <w:rFonts w:ascii="仿宋_GB2312" w:hAnsi="仿宋_GB2312" w:cs="仿宋_GB2312" w:eastAsia="仿宋_GB2312"/>
                <w:sz w:val="20"/>
              </w:rPr>
              <w:t>10.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付款方式</w:t>
            </w:r>
          </w:p>
          <w:p>
            <w:pPr>
              <w:pStyle w:val="null3"/>
            </w:pPr>
            <w:r>
              <w:rPr>
                <w:rFonts w:ascii="仿宋_GB2312" w:hAnsi="仿宋_GB2312" w:cs="仿宋_GB2312" w:eastAsia="仿宋_GB2312"/>
                <w:sz w:val="20"/>
              </w:rPr>
              <w:t>1、货物全部到货后，经采购人组织开箱验收并确认符合合同要求后支付合同总额的40%；经采购人组织交付验收并通过后支付合同总额的30%；经采购人组织最终验收并通过、且供应商完成所有项目资料的交付后支付合同总额的30%。</w:t>
            </w:r>
          </w:p>
          <w:p>
            <w:pPr>
              <w:pStyle w:val="null3"/>
            </w:pPr>
            <w:r>
              <w:rPr>
                <w:rFonts w:ascii="仿宋_GB2312" w:hAnsi="仿宋_GB2312" w:cs="仿宋_GB2312" w:eastAsia="仿宋_GB2312"/>
                <w:sz w:val="20"/>
              </w:rPr>
              <w:t>2、供应商须向采购人出具合法有效的发票，采购人进行支付结算。首次支付时供应商应开具全额发票。</w:t>
            </w:r>
          </w:p>
          <w:p>
            <w:pPr>
              <w:pStyle w:val="null3"/>
            </w:pPr>
            <w:r>
              <w:rPr>
                <w:rFonts w:ascii="仿宋_GB2312" w:hAnsi="仿宋_GB2312" w:cs="仿宋_GB2312" w:eastAsia="仿宋_GB2312"/>
                <w:sz w:val="20"/>
              </w:rPr>
              <w:t>3、结算方式：银行转账。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1、投标人须在合同签订之日（含）起150个日历天内完成货物安装、并配合采购人完成交付验收、通过最终验收。 2.自开工令发出之日（含）起，所需设备投标人需在30个日历天内运抵采购人指定地点，由采购人组织开箱检验。开箱检验通过仅表明设备表面符合约定，不视为对设备内在质量、技术性能的认可。 3.自开箱检验通过之日起（含），30个日历天内，投标人需完成设备上架部署安装、并提出书面交付验收申请。 4.交付验收通过之日起（含），设备上架30个日历天且运行平稳后，投标人应于7个日历天内及时提出书面最终验收申请。</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预付款，自合同签订并生效之日起，硬件设备到货后，采购方组织硬件设备点收并通过后，乙方满足支付条件且开具合法有效的普通发票，银行转账支付，达到付款条件起15个工作日内，支付合同总金额的40.0%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进度款，供应商完成硬件安装调试及软件适配工作，项目验收合格后，乙方满足支付条件且开具合法有效的普通发票，银行转账支付，达到付款条件起15个工作日内，支付合同总金额的30.0%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其他，试运行1个月后，乙方满足支付条件且开具合法有效的普通发票，银行转账支付 ，达到付款条件起15个工作日内，支付合同总金额的30.0%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质保期：投标人需提供原厂工程师安装硬件上架部署服务及配置，提供3年原厂维保。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1.投标人延迟交付货物的，应向采购人支付延迟违约金。延迟违约金的计算方法如下：每延迟一天向采购人偿付违约货款额3‰违约金，但违约金累计不超过违约货款额3%。超过10 天采购人有权解除合同，投标人承担因此给采购人造成经济损失。 2.投标人提供的设备品种、型号、规格、质量达不到规定标准的，采购人有权拒收，投标人应在10日历天内更换符合要求的设备，投标人拒绝更换或更换后仍存在质量问题的，采购人有权解除合同并有权要求投标人按照合同总价款的20%向采购人支付违约金。 3.项目实施过程中，对全省业务正常运行影响达到6小时的，每次扣款5000元；每增加6小时，增加5000元；24小时内最高扣款金额20000元。影响全省业务正常运行超过24小时，或有必要根据实际造成的损失及影响进行责任追究的，采购人有权进行责任追究。 4.投标人未按合同要求提供服务或产品质量不能满足技术要求的，采购方有权要求供应商整改，投标人拒绝整改或整改后仍存在问题的，采购方有权解除合同，并有权要求投标人按照合同总价款的20%向采购方支付违约金。 5.上述2、3、4项情形累计发生3次及以上，采购方除按照上述标准扣除违约金外，有权单方面解除本合同。 6.因投标人原因，自合同签订之日起150个日历天内未完成项目所有工作内容或未提交项目交付成果，投标人应向采购方支付合同总价款的20%违约金，采购方有权从合同支付费用中扣除。 7.上述违约金直接从未支付的合同金额中扣减，如合同剩余金额不足扣减违约金，投标人应在规定时限内向采购人支付违约金。 8.因投标人原因，导致合同无法按时签订的，视为对项目的自动放弃，采购方有权取消投标人的中标或成交资格、并有权依据采购文件中的约定及相关法律规定，追究投标人的违约责任。 9.因投标人泄密或操作不当造成采购人利益损害，除一切后果与法律责任由投标人承担，采购人有权要求投标人赔偿经济损失。 10.投标人若违反本协议的任何一款，视为投标人违约；因投标人违约造成采购人损失的，由投标人承担全部的损失赔偿责任，包括但不限于直接经济损失及采购人因此开支的交通费、公证费、鉴定费、诉讼费、仲裁费、律师费、保全费、保全保险费等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1、需要落实的政府采购政策： （1）《政府采购促进中小企业发展管理办法》的通知--财库〔2020〕46号（2）财政部司法部关于政府采购支持监狱企业发展有关问题的通知--财库[2014]68号（3）《财政部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为顺利推进政府采购电子化交易平台应用工作，投标人需要在线提交所有通过电子化交易平台实施的政府采购项目的投标文件，同时，线下提交纸质投标文件正本壹份、副本壹份。纸质投标文件正、副本分别胶装，标明投标人名称密封递交，递交截止时间同在线递交投标电子文件截止时间一致，递交地址：西安市雁展路1111号莱安中心T6-15层。（纸质投标文件可邮寄，仅接受顺丰速运，邮件签收时间应在递交电子投标文件截止时间之前，邮寄地址：西安市雁展路1111号莱安中心T6-15层，联系人：任萍萍，联系电话029-81206622/81206633-842）。 若电子投标文件与纸质投标文件不一致的，以电子投标文件为准。 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法定代表人授权书及被授权人身份证复印件。（法定代表人直接投标须提交法定代表人身份证明书及其身份证复印件）</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 计量单位、报价货币及签字盖章</w:t>
            </w:r>
          </w:p>
        </w:tc>
        <w:tc>
          <w:tcPr>
            <w:tcW w:type="dxa" w:w="3322"/>
          </w:tcPr>
          <w:p>
            <w:pPr>
              <w:pStyle w:val="null3"/>
            </w:pPr>
            <w:r>
              <w:rPr>
                <w:rFonts w:ascii="仿宋_GB2312" w:hAnsi="仿宋_GB2312" w:cs="仿宋_GB2312" w:eastAsia="仿宋_GB2312"/>
              </w:rPr>
              <w:t>投标文件按招标文件要求的数量、 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根据招标文件要求认真审核投标文件中技术参数响应和提供的佐证材料。投标产品的基本功能、产品技术参数和配置完全满足或优于招标文件要求的，得满分15分；参数每负偏离一项扣0.5分，扣完为止。 备注：所有技术参数须提供佐证材料（不限于产品彩页、检测报告、功能截图等），未提供佐证材料或提供的佐证材料无法证明或低于招标要求时按负偏离处理。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针对本项目提供完整的项目实施方案。内容包含：①供货组织安排；②实施计划及进度计划；③安装调试验收方案。二、评审标准：1、完整性：方案须全面，对评审内容中的各项要求描述详细；2、可实施性：切合本项目实际情况，实施步骤清晰、合理；3、针对性：方案能够紧扣项目实际情况，内容科学合理。 三、赋分依据：（满分12分）①供货组织安排：每完全满足一个评审标准得1分，满分3分；未提供不得分；②实施计划及进度计划:每完全满足一个评审标准得2分，满分6分；未提供不得分；③安装调试验收方案: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一、评审内容：针对本项目具有可行的技术培训方案。包括①培训计划，含培训计划表、地点、时间及培训对象人数等；②培训内容，含所提供产品的原理和技术性能、操作维护方法、安装调试、排除故障等。 二、评审标准 ：1、完整性：方案须全面，对评审内容中的各项要求描述详细；2、可实施性：切合本项目实际情况，实施步骤清晰、合理；3、针对性：方案能够紧扣项目实际情况，内容科学合理。 三、赋分依据：（满分9分）①培训计划：每完全满足一个评审标准得1分，满分3分；未提供不得分；②培训内容：每完全满足一个评审标准得2分，满分6分；未提供不得分。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一、评审内容：根据项目实际需求，提供质量保证方案。内容包含：质量保证措施。 二、评审标准：1、完整性：质量保证措施方案须全面，对评审内容中的各项要求有详细描述；2、可实施性：切合本项目实际情况，实施步骤清晰、合理；3、针对性：方案能够紧扣项目实际情况，内容科学合理。 三、赋分依据（满分9分）质量保证方案:每完全满足一个评审标准得3分，满分9分；未提供不得分。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承诺，包括但不限于：①紧急故障处理预案及解决问题能力；②故障维修响应时间；③备品备件保障。以上方案每缺一项扣3分，共9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提供保密方案，包括但不限于：①保密措施；②保密承诺函，承诺完全响应招标文件中的保密要求（包括保密范围、永久保密义务、违反保密责任等）。以上方案每缺一项扣2分，共4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详细评审-保密方案.docx</w:t>
            </w:r>
          </w:p>
        </w:tc>
      </w:tr>
      <w:tr>
        <w:tc>
          <w:tcPr>
            <w:tcW w:type="dxa" w:w="831"/>
            <w:vMerge/>
          </w:tcPr>
          <w:p/>
        </w:tc>
        <w:tc>
          <w:tcPr>
            <w:tcW w:type="dxa" w:w="1661"/>
          </w:tcPr>
          <w:p>
            <w:pPr>
              <w:pStyle w:val="null3"/>
            </w:pPr>
            <w:r>
              <w:rPr>
                <w:rFonts w:ascii="仿宋_GB2312" w:hAnsi="仿宋_GB2312" w:cs="仿宋_GB2312" w:eastAsia="仿宋_GB2312"/>
              </w:rPr>
              <w:t>项目实施团队人员</w:t>
            </w:r>
          </w:p>
        </w:tc>
        <w:tc>
          <w:tcPr>
            <w:tcW w:type="dxa" w:w="2492"/>
          </w:tcPr>
          <w:p>
            <w:pPr>
              <w:pStyle w:val="null3"/>
            </w:pPr>
            <w:r>
              <w:rPr>
                <w:rFonts w:ascii="仿宋_GB2312" w:hAnsi="仿宋_GB2312" w:cs="仿宋_GB2312" w:eastAsia="仿宋_GB2312"/>
              </w:rPr>
              <w:t>1、项目负责人配置：项目负责人具有同类通信设备项目实施经验（需提供项目负责人简历及业绩证明材料），得1分。 2、团队配置：实施团队人员配置合理（须含驻场人员），分工明确，具备同类项目实施经验的，计3分，每有1处描述缺陷要求扣1分，扣完为止。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详细评审-项目实施团队人员.docx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人2023年1月1日至今(以合同签订日期为准)同类项目业绩，每提供1份计1分，满分5分，未提供不计分。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其他说明.docx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详见附件：详细评审-保密方案.docx</w:t>
      </w:r>
    </w:p>
    <w:p>
      <w:pPr>
        <w:pStyle w:val="null3"/>
        <w:ind w:firstLine="960"/>
      </w:pPr>
      <w:r>
        <w:rPr>
          <w:rFonts w:ascii="仿宋_GB2312" w:hAnsi="仿宋_GB2312" w:cs="仿宋_GB2312" w:eastAsia="仿宋_GB2312"/>
        </w:rPr>
        <w:t>详见附件：详细评审-项目实施团队人员.docx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详见附件：详细评审-企业业绩.docx</w:t>
      </w:r>
    </w:p>
    <w:p>
      <w:pPr>
        <w:pStyle w:val="null3"/>
        <w:ind w:firstLine="960"/>
      </w:pPr>
      <w:r>
        <w:rPr>
          <w:rFonts w:ascii="仿宋_GB2312" w:hAnsi="仿宋_GB2312" w:cs="仿宋_GB2312" w:eastAsia="仿宋_GB2312"/>
        </w:rPr>
        <w:t>详见附件：详细评审-售后服务.docx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